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E93B" w14:textId="29D44C60" w:rsidR="00325004" w:rsidRPr="00A86EB9" w:rsidRDefault="00750EAA" w:rsidP="00E0716D">
      <w:pPr>
        <w:jc w:val="center"/>
        <w:rPr>
          <w:b/>
          <w:sz w:val="28"/>
        </w:rPr>
      </w:pPr>
      <w:r w:rsidRPr="00750EAA">
        <w:rPr>
          <w:b/>
          <w:sz w:val="28"/>
        </w:rPr>
        <w:t xml:space="preserve">Probing Activation Reversibility in Ni-Based LDH Electrocatalysts by </w:t>
      </w:r>
      <w:r w:rsidRPr="00A96793">
        <w:rPr>
          <w:b/>
          <w:i/>
          <w:iCs/>
          <w:sz w:val="28"/>
        </w:rPr>
        <w:t>In Situ</w:t>
      </w:r>
      <w:r w:rsidRPr="00750EAA">
        <w:rPr>
          <w:b/>
          <w:sz w:val="28"/>
        </w:rPr>
        <w:t xml:space="preserve"> EC-Raman Spectroscopy</w:t>
      </w:r>
    </w:p>
    <w:p w14:paraId="3A6F64E2" w14:textId="77777777" w:rsidR="00325004" w:rsidRPr="00A86EB9" w:rsidRDefault="00325004" w:rsidP="00E0716D">
      <w:pPr>
        <w:jc w:val="center"/>
        <w:rPr>
          <w:b/>
          <w:sz w:val="28"/>
        </w:rPr>
      </w:pPr>
    </w:p>
    <w:p w14:paraId="5E7E13E2" w14:textId="00E67295" w:rsidR="00325004" w:rsidRDefault="00750EAA" w:rsidP="00E0716D">
      <w:pPr>
        <w:jc w:val="center"/>
        <w:rPr>
          <w:vertAlign w:val="superscript"/>
        </w:rPr>
      </w:pPr>
      <w:r w:rsidRPr="00750EAA">
        <w:rPr>
          <w:u w:val="single"/>
        </w:rPr>
        <w:t>Madjid Tarabet</w:t>
      </w:r>
      <w:r w:rsidRPr="00750EAA">
        <w:rPr>
          <w:vertAlign w:val="superscript"/>
        </w:rPr>
        <w:t>1</w:t>
      </w:r>
      <w:r w:rsidRPr="00750EAA">
        <w:t>,</w:t>
      </w:r>
      <w:r w:rsidRPr="00750EAA">
        <w:t xml:space="preserve"> Alice Fiocco</w:t>
      </w:r>
      <w:r w:rsidRPr="00750EAA">
        <w:rPr>
          <w:vertAlign w:val="superscript"/>
        </w:rPr>
        <w:t>2</w:t>
      </w:r>
      <w:r w:rsidRPr="00750EAA">
        <w:t>, Guillaume Ducourthial</w:t>
      </w:r>
      <w:r w:rsidRPr="00750EAA">
        <w:rPr>
          <w:vertAlign w:val="superscript"/>
        </w:rPr>
        <w:t>1</w:t>
      </w:r>
      <w:r w:rsidRPr="00750EAA">
        <w:t>, Sébastien Legendre</w:t>
      </w:r>
      <w:r w:rsidRPr="00750EAA">
        <w:rPr>
          <w:vertAlign w:val="superscript"/>
        </w:rPr>
        <w:t>1</w:t>
      </w:r>
      <w:r w:rsidRPr="00750EAA">
        <w:t>, Luuk Muris</w:t>
      </w:r>
      <w:r w:rsidRPr="00750EAA">
        <w:rPr>
          <w:vertAlign w:val="superscript"/>
        </w:rPr>
        <w:t>3</w:t>
      </w:r>
      <w:r w:rsidRPr="00750EAA">
        <w:t>, Alvaro Seijas-Da Silva</w:t>
      </w:r>
      <w:r w:rsidRPr="00750EAA">
        <w:rPr>
          <w:vertAlign w:val="superscript"/>
        </w:rPr>
        <w:t>4</w:t>
      </w:r>
      <w:r w:rsidRPr="00750EAA">
        <w:t>, Vicente Vert</w:t>
      </w:r>
      <w:r w:rsidRPr="00750EAA">
        <w:rPr>
          <w:vertAlign w:val="superscript"/>
        </w:rPr>
        <w:t>4</w:t>
      </w:r>
      <w:r w:rsidRPr="00750EAA">
        <w:t>, Gonzalo Abellán</w:t>
      </w:r>
      <w:r w:rsidRPr="00750EAA">
        <w:rPr>
          <w:vertAlign w:val="superscript"/>
        </w:rPr>
        <w:t>3</w:t>
      </w:r>
    </w:p>
    <w:p w14:paraId="2651C4A3" w14:textId="77777777" w:rsidR="00750EAA" w:rsidRPr="00750EAA" w:rsidRDefault="00750EAA" w:rsidP="00E0716D">
      <w:pPr>
        <w:jc w:val="center"/>
      </w:pPr>
    </w:p>
    <w:p w14:paraId="4F2AA9F1" w14:textId="77777777" w:rsidR="00750EAA" w:rsidRPr="00750EAA" w:rsidRDefault="00750EAA" w:rsidP="00750EAA">
      <w:pPr>
        <w:jc w:val="center"/>
        <w:rPr>
          <w:i/>
          <w:lang w:val="fr-FR"/>
        </w:rPr>
      </w:pPr>
      <w:r w:rsidRPr="00750EAA">
        <w:rPr>
          <w:i/>
          <w:lang w:val="fr-FR"/>
        </w:rPr>
        <w:t xml:space="preserve">1 </w:t>
      </w:r>
      <w:proofErr w:type="spellStart"/>
      <w:r w:rsidRPr="00750EAA">
        <w:rPr>
          <w:i/>
          <w:lang w:val="fr-FR"/>
        </w:rPr>
        <w:t>Horiba</w:t>
      </w:r>
      <w:proofErr w:type="spellEnd"/>
      <w:r w:rsidRPr="00750EAA">
        <w:rPr>
          <w:i/>
          <w:lang w:val="fr-FR"/>
        </w:rPr>
        <w:t xml:space="preserve"> France SAS, 455 Avenue Eugène Avinée, 59120, Loos, France</w:t>
      </w:r>
    </w:p>
    <w:p w14:paraId="32C66622" w14:textId="77777777" w:rsidR="00750EAA" w:rsidRPr="00750EAA" w:rsidRDefault="00750EAA" w:rsidP="00750EAA">
      <w:pPr>
        <w:jc w:val="center"/>
        <w:rPr>
          <w:i/>
          <w:lang w:val="fr-FR"/>
        </w:rPr>
      </w:pPr>
      <w:r w:rsidRPr="00750EAA">
        <w:rPr>
          <w:i/>
          <w:lang w:val="fr-FR"/>
        </w:rPr>
        <w:t xml:space="preserve">2 </w:t>
      </w:r>
      <w:proofErr w:type="spellStart"/>
      <w:r w:rsidRPr="00750EAA">
        <w:rPr>
          <w:i/>
          <w:lang w:val="fr-FR"/>
        </w:rPr>
        <w:t>Horiba</w:t>
      </w:r>
      <w:proofErr w:type="spellEnd"/>
      <w:r w:rsidRPr="00750EAA">
        <w:rPr>
          <w:i/>
          <w:lang w:val="fr-FR"/>
        </w:rPr>
        <w:t xml:space="preserve"> France SAS, 14, Boulevard Thomas Gobert, Passage Jobin Yvon, 91120 Palaiseau, France</w:t>
      </w:r>
    </w:p>
    <w:p w14:paraId="0048E931" w14:textId="77777777" w:rsidR="00750EAA" w:rsidRPr="00750EAA" w:rsidRDefault="00750EAA" w:rsidP="00750EAA">
      <w:pPr>
        <w:jc w:val="center"/>
        <w:rPr>
          <w:i/>
          <w:lang w:val="fr-FR"/>
        </w:rPr>
      </w:pPr>
      <w:r w:rsidRPr="00750EAA">
        <w:rPr>
          <w:i/>
          <w:lang w:val="fr-FR"/>
        </w:rPr>
        <w:t xml:space="preserve">3 Instituto de </w:t>
      </w:r>
      <w:proofErr w:type="spellStart"/>
      <w:r w:rsidRPr="00750EAA">
        <w:rPr>
          <w:i/>
          <w:lang w:val="fr-FR"/>
        </w:rPr>
        <w:t>Ciencia</w:t>
      </w:r>
      <w:proofErr w:type="spellEnd"/>
      <w:r w:rsidRPr="00750EAA">
        <w:rPr>
          <w:i/>
          <w:lang w:val="fr-FR"/>
        </w:rPr>
        <w:t xml:space="preserve"> </w:t>
      </w:r>
      <w:proofErr w:type="spellStart"/>
      <w:r w:rsidRPr="00750EAA">
        <w:rPr>
          <w:i/>
          <w:lang w:val="fr-FR"/>
        </w:rPr>
        <w:t>Molecular</w:t>
      </w:r>
      <w:proofErr w:type="spellEnd"/>
      <w:r w:rsidRPr="00750EAA">
        <w:rPr>
          <w:i/>
          <w:lang w:val="fr-FR"/>
        </w:rPr>
        <w:t xml:space="preserve"> (</w:t>
      </w:r>
      <w:proofErr w:type="spellStart"/>
      <w:r w:rsidRPr="00750EAA">
        <w:rPr>
          <w:i/>
          <w:lang w:val="fr-FR"/>
        </w:rPr>
        <w:t>ICMol</w:t>
      </w:r>
      <w:proofErr w:type="spellEnd"/>
      <w:r w:rsidRPr="00750EAA">
        <w:rPr>
          <w:i/>
          <w:lang w:val="fr-FR"/>
        </w:rPr>
        <w:t xml:space="preserve">), </w:t>
      </w:r>
      <w:proofErr w:type="spellStart"/>
      <w:r w:rsidRPr="00750EAA">
        <w:rPr>
          <w:i/>
          <w:lang w:val="fr-FR"/>
        </w:rPr>
        <w:t>Universitat</w:t>
      </w:r>
      <w:proofErr w:type="spellEnd"/>
      <w:r w:rsidRPr="00750EAA">
        <w:rPr>
          <w:i/>
          <w:lang w:val="fr-FR"/>
        </w:rPr>
        <w:t xml:space="preserve"> de València, </w:t>
      </w:r>
      <w:proofErr w:type="spellStart"/>
      <w:r w:rsidRPr="00750EAA">
        <w:rPr>
          <w:i/>
          <w:lang w:val="fr-FR"/>
        </w:rPr>
        <w:t>Catedrático</w:t>
      </w:r>
      <w:proofErr w:type="spellEnd"/>
      <w:r w:rsidRPr="00750EAA">
        <w:rPr>
          <w:i/>
          <w:lang w:val="fr-FR"/>
        </w:rPr>
        <w:t xml:space="preserve"> José Beltrán 2, 46980 Paterna, Valencia, Spain.</w:t>
      </w:r>
    </w:p>
    <w:p w14:paraId="25CDA084" w14:textId="7B40CA61" w:rsidR="00325004" w:rsidRDefault="00750EAA" w:rsidP="00750EAA">
      <w:pPr>
        <w:jc w:val="center"/>
        <w:rPr>
          <w:i/>
          <w:lang w:val="fr-FR"/>
        </w:rPr>
      </w:pPr>
      <w:r w:rsidRPr="00750EAA">
        <w:rPr>
          <w:i/>
          <w:lang w:val="fr-FR"/>
        </w:rPr>
        <w:t xml:space="preserve">4 </w:t>
      </w:r>
      <w:proofErr w:type="spellStart"/>
      <w:r w:rsidRPr="00750EAA">
        <w:rPr>
          <w:i/>
          <w:lang w:val="fr-FR"/>
        </w:rPr>
        <w:t>Matteco</w:t>
      </w:r>
      <w:proofErr w:type="spellEnd"/>
      <w:r w:rsidRPr="00750EAA">
        <w:rPr>
          <w:i/>
          <w:lang w:val="fr-FR"/>
        </w:rPr>
        <w:t xml:space="preserve"> Team, S.L., Carrer de Les Noves </w:t>
      </w:r>
      <w:proofErr w:type="spellStart"/>
      <w:r w:rsidRPr="00750EAA">
        <w:rPr>
          <w:i/>
          <w:lang w:val="fr-FR"/>
        </w:rPr>
        <w:t>Tecnologies</w:t>
      </w:r>
      <w:proofErr w:type="spellEnd"/>
      <w:r w:rsidRPr="00750EAA">
        <w:rPr>
          <w:i/>
          <w:lang w:val="fr-FR"/>
        </w:rPr>
        <w:t xml:space="preserve">, 6, 46980 Paterna, Valencia, </w:t>
      </w:r>
      <w:r w:rsidRPr="00750EAA">
        <w:rPr>
          <w:i/>
          <w:lang w:val="fr-FR"/>
        </w:rPr>
        <w:t>Spain.</w:t>
      </w:r>
    </w:p>
    <w:p w14:paraId="2E896B17" w14:textId="77777777" w:rsidR="00750EAA" w:rsidRPr="00750EAA" w:rsidRDefault="00750EAA" w:rsidP="00750EAA">
      <w:pPr>
        <w:jc w:val="center"/>
        <w:rPr>
          <w:i/>
          <w:lang w:val="fr-FR"/>
        </w:rPr>
      </w:pPr>
    </w:p>
    <w:p w14:paraId="2933F4CD" w14:textId="39CC7284" w:rsidR="00685C1A" w:rsidRPr="00685C1A" w:rsidRDefault="00A96793" w:rsidP="00E0716D">
      <w:pPr>
        <w:jc w:val="center"/>
        <w:rPr>
          <w:i/>
        </w:rPr>
      </w:pPr>
      <w:r>
        <w:rPr>
          <w:i/>
        </w:rPr>
        <w:t>m</w:t>
      </w:r>
      <w:r w:rsidR="00750EAA">
        <w:rPr>
          <w:i/>
        </w:rPr>
        <w:t>adjid.tarabet@horiba.com</w:t>
      </w:r>
    </w:p>
    <w:p w14:paraId="49433291" w14:textId="77777777" w:rsidR="00325004" w:rsidRDefault="00325004" w:rsidP="00E0716D">
      <w:pPr>
        <w:jc w:val="center"/>
      </w:pPr>
    </w:p>
    <w:p w14:paraId="796C70FD" w14:textId="77777777" w:rsidR="00A96793" w:rsidRDefault="00A96793" w:rsidP="00A96793">
      <w:pPr>
        <w:spacing w:line="276" w:lineRule="auto"/>
        <w:jc w:val="both"/>
      </w:pPr>
      <w:r>
        <w:t xml:space="preserve">Nickel-based layered double hydroxides (Ni-LDHs) are promising catalysts for the oxygen evolution reaction (OER) in alkaline water </w:t>
      </w:r>
      <w:proofErr w:type="spellStart"/>
      <w:r>
        <w:t>electrolyzers</w:t>
      </w:r>
      <w:proofErr w:type="spellEnd"/>
      <w:r>
        <w:t>. Despite their electrochemical performance, the structural transformations occurring at the electrode–electrolyte interface under realistic operating conditions, from initial activation to long-term polarization, remain incompletely understood.</w:t>
      </w:r>
    </w:p>
    <w:p w14:paraId="27D7500F" w14:textId="77777777" w:rsidR="00A96793" w:rsidRDefault="00A96793" w:rsidP="00A96793">
      <w:pPr>
        <w:spacing w:line="276" w:lineRule="auto"/>
        <w:jc w:val="both"/>
      </w:pPr>
    </w:p>
    <w:p w14:paraId="50379A1D" w14:textId="32C4B681" w:rsidR="00A96793" w:rsidRDefault="00A96793" w:rsidP="00A96793">
      <w:pPr>
        <w:spacing w:line="276" w:lineRule="auto"/>
        <w:jc w:val="both"/>
      </w:pPr>
      <w:r>
        <w:t>In this work, in situ EC-Raman spectroscopy is used to monitor these transformations in real time on a series of room-temperature synthesized Ni-based LDH compositions</w:t>
      </w:r>
      <w:r>
        <w:t xml:space="preserve"> [1]</w:t>
      </w:r>
      <w:r>
        <w:t xml:space="preserve">, namely </w:t>
      </w:r>
      <w:proofErr w:type="spellStart"/>
      <w:r>
        <w:t>NiFe</w:t>
      </w:r>
      <w:proofErr w:type="spellEnd"/>
      <w:r>
        <w:t xml:space="preserve">, </w:t>
      </w:r>
      <w:proofErr w:type="spellStart"/>
      <w:r>
        <w:t>NiCr</w:t>
      </w:r>
      <w:proofErr w:type="spellEnd"/>
      <w:r>
        <w:t xml:space="preserve"> and </w:t>
      </w:r>
      <w:proofErr w:type="spellStart"/>
      <w:r>
        <w:t>NiFeCr</w:t>
      </w:r>
      <w:proofErr w:type="spellEnd"/>
      <w:r>
        <w:t>. The excitation wavelength was selected based on UV-</w:t>
      </w:r>
      <w:proofErr w:type="gramStart"/>
      <w:r>
        <w:t>Vis</w:t>
      </w:r>
      <w:proofErr w:type="gramEnd"/>
      <w:r>
        <w:t xml:space="preserve"> measurements to take advantage of resonance enhancement, which improves the detection of spectral features that would otherwise be difficult to resolve, including the formation of chromate species in alkaline medium. Under anodic polarization, the progressive conversion of the LDH toward the active oxyhydroxide phase is followed continuously, and the influence of composition on the onset and kinetics of this transformation is discussed.</w:t>
      </w:r>
    </w:p>
    <w:p w14:paraId="1B848C44" w14:textId="77777777" w:rsidR="00A96793" w:rsidRDefault="00A96793" w:rsidP="00A96793">
      <w:pPr>
        <w:spacing w:line="276" w:lineRule="auto"/>
        <w:jc w:val="both"/>
      </w:pPr>
    </w:p>
    <w:p w14:paraId="0E96C4EC" w14:textId="00201C49" w:rsidR="00325004" w:rsidRDefault="00A96793" w:rsidP="00A96793">
      <w:pPr>
        <w:spacing w:line="276" w:lineRule="auto"/>
        <w:jc w:val="both"/>
      </w:pPr>
      <w:r>
        <w:t>Once the activation process is complete, switching to open circuit potential leads to a progressive recovery of the initial LDH spectral signature at the interface. This behavior, observed over timescales exceeding fifteen hours, points to a reversibility of the activation process and raises questions about the actual state of the catalyst under intermittent operating conditions.</w:t>
      </w:r>
    </w:p>
    <w:p w14:paraId="14FD6CBE" w14:textId="77777777" w:rsidR="00A96793" w:rsidRDefault="00A96793" w:rsidP="00A96793">
      <w:pPr>
        <w:spacing w:line="276" w:lineRule="auto"/>
        <w:jc w:val="both"/>
      </w:pPr>
    </w:p>
    <w:p w14:paraId="3F74EF9A" w14:textId="77777777" w:rsidR="00A96793" w:rsidRDefault="00A96793" w:rsidP="00A96793">
      <w:pPr>
        <w:spacing w:line="276" w:lineRule="auto"/>
        <w:jc w:val="both"/>
      </w:pPr>
    </w:p>
    <w:p w14:paraId="423BCCA0" w14:textId="55AFAD6E" w:rsidR="00A96793" w:rsidRDefault="00A96793" w:rsidP="00A96793">
      <w:pPr>
        <w:spacing w:line="276" w:lineRule="auto"/>
        <w:jc w:val="both"/>
      </w:pPr>
      <w:r w:rsidRPr="009E5A2B">
        <w:rPr>
          <w:lang w:val="fr-FR"/>
        </w:rPr>
        <w:t xml:space="preserve">[1] </w:t>
      </w:r>
      <w:r w:rsidR="009E5A2B" w:rsidRPr="009E5A2B">
        <w:rPr>
          <w:lang w:val="fr-FR"/>
        </w:rPr>
        <w:t xml:space="preserve">Seijas-Da Silva, A., Hartert, A., Oestreicher, V. et al. </w:t>
      </w:r>
      <w:r w:rsidR="009E5A2B" w:rsidRPr="009E5A2B">
        <w:t xml:space="preserve">Scalable synthesis of </w:t>
      </w:r>
      <w:proofErr w:type="spellStart"/>
      <w:r w:rsidR="009E5A2B" w:rsidRPr="009E5A2B">
        <w:t>NiFe</w:t>
      </w:r>
      <w:proofErr w:type="spellEnd"/>
      <w:r w:rsidR="009E5A2B" w:rsidRPr="009E5A2B">
        <w:t>-layered double hydroxide for efficient anion exchange membrane electrolysis. Nat Commun 16, 6138 (2025).</w:t>
      </w:r>
    </w:p>
    <w:p w14:paraId="490D565E"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750EAA"/>
    <w:rsid w:val="009403C7"/>
    <w:rsid w:val="009E5A2B"/>
    <w:rsid w:val="00A96793"/>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A33148"/>
  <w14:defaultImageDpi w14:val="300"/>
  <w15:docId w15:val="{42BE187A-4806-43F8-934A-DAD7156A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1967</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Madjid TARABET</cp:lastModifiedBy>
  <cp:revision>2</cp:revision>
  <cp:lastPrinted>2013-10-21T12:07:00Z</cp:lastPrinted>
  <dcterms:created xsi:type="dcterms:W3CDTF">2026-06-05T11:49:00Z</dcterms:created>
  <dcterms:modified xsi:type="dcterms:W3CDTF">2026-06-05T11:49:00Z</dcterms:modified>
</cp:coreProperties>
</file>