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03021" w14:textId="77265BDA" w:rsidR="00325004" w:rsidRPr="00A86EB9" w:rsidRDefault="00D900C9" w:rsidP="00E0716D">
      <w:pPr>
        <w:jc w:val="center"/>
        <w:rPr>
          <w:b/>
          <w:sz w:val="28"/>
        </w:rPr>
      </w:pPr>
      <w:r w:rsidRPr="00D900C9">
        <w:rPr>
          <w:b/>
          <w:sz w:val="28"/>
        </w:rPr>
        <w:t>Efficient Hydrazine Oxidation on Manganese–Iron-Supported Biomass-Derived Carbon Catalyst</w:t>
      </w:r>
    </w:p>
    <w:p w14:paraId="59832A5E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17FD43D3" w14:textId="01953103" w:rsidR="00325004" w:rsidRDefault="00A70E04" w:rsidP="00E0716D">
      <w:pPr>
        <w:jc w:val="center"/>
      </w:pPr>
      <w:r>
        <w:rPr>
          <w:u w:val="single"/>
        </w:rPr>
        <w:t xml:space="preserve">Karina </w:t>
      </w:r>
      <w:proofErr w:type="spellStart"/>
      <w:r>
        <w:rPr>
          <w:u w:val="single"/>
        </w:rPr>
        <w:t>Vj</w:t>
      </w:r>
      <w:proofErr w:type="spellEnd"/>
      <w:r>
        <w:rPr>
          <w:u w:val="single"/>
          <w:lang w:val="lt-LT"/>
        </w:rPr>
        <w:t>ūnova</w:t>
      </w:r>
      <w:r w:rsidR="00A5528E" w:rsidRPr="00A5528E">
        <w:rPr>
          <w:u w:val="single"/>
          <w:vertAlign w:val="superscript"/>
          <w:lang w:val="lt-LT"/>
        </w:rPr>
        <w:t>1</w:t>
      </w:r>
      <w:r w:rsidR="00325004">
        <w:t xml:space="preserve">, </w:t>
      </w:r>
      <w:r w:rsidR="00A5528E" w:rsidRPr="00A5528E">
        <w:t>Huma Amber</w:t>
      </w:r>
      <w:r w:rsidR="00A5528E" w:rsidRPr="00A5528E">
        <w:rPr>
          <w:vertAlign w:val="superscript"/>
        </w:rPr>
        <w:t>1</w:t>
      </w:r>
      <w:r w:rsidR="00A5528E" w:rsidRPr="00A5528E">
        <w:t xml:space="preserve">, </w:t>
      </w:r>
      <w:proofErr w:type="spellStart"/>
      <w:r w:rsidR="00A5528E" w:rsidRPr="00A5528E">
        <w:t>Dijana</w:t>
      </w:r>
      <w:proofErr w:type="spellEnd"/>
      <w:r w:rsidR="00A5528E" w:rsidRPr="00A5528E">
        <w:t xml:space="preserve"> Šimkūnaitė</w:t>
      </w:r>
      <w:r w:rsidR="00A5528E" w:rsidRPr="00A5528E">
        <w:rPr>
          <w:vertAlign w:val="superscript"/>
        </w:rPr>
        <w:t>1</w:t>
      </w:r>
      <w:r w:rsidR="00A5528E" w:rsidRPr="00A5528E">
        <w:t xml:space="preserve">, </w:t>
      </w:r>
      <w:proofErr w:type="spellStart"/>
      <w:r w:rsidR="00A5528E" w:rsidRPr="00A5528E">
        <w:t>Zenius</w:t>
      </w:r>
      <w:proofErr w:type="spellEnd"/>
      <w:r w:rsidR="00A5528E" w:rsidRPr="00A5528E">
        <w:t xml:space="preserve"> Mockus</w:t>
      </w:r>
      <w:r w:rsidR="00A5528E" w:rsidRPr="00A5528E">
        <w:rPr>
          <w:vertAlign w:val="superscript"/>
        </w:rPr>
        <w:t>1</w:t>
      </w:r>
      <w:r w:rsidR="00A5528E" w:rsidRPr="00A5528E">
        <w:t xml:space="preserve">, </w:t>
      </w:r>
      <w:proofErr w:type="spellStart"/>
      <w:r w:rsidR="00A5528E" w:rsidRPr="00A5528E">
        <w:t>Aleksandrs</w:t>
      </w:r>
      <w:proofErr w:type="spellEnd"/>
      <w:r w:rsidR="00A5528E" w:rsidRPr="00A5528E">
        <w:t xml:space="preserve"> Volperts</w:t>
      </w:r>
      <w:r w:rsidR="00A5528E" w:rsidRPr="00A5528E">
        <w:rPr>
          <w:vertAlign w:val="superscript"/>
        </w:rPr>
        <w:t>2</w:t>
      </w:r>
      <w:r w:rsidR="00A5528E" w:rsidRPr="00A5528E">
        <w:t xml:space="preserve">, </w:t>
      </w:r>
      <w:proofErr w:type="spellStart"/>
      <w:r w:rsidR="00A5528E" w:rsidRPr="00A5528E">
        <w:t>Ance</w:t>
      </w:r>
      <w:proofErr w:type="spellEnd"/>
      <w:r w:rsidR="00A5528E" w:rsidRPr="00A5528E">
        <w:t xml:space="preserve"> Plavniece</w:t>
      </w:r>
      <w:r w:rsidR="00A5528E" w:rsidRPr="00A5528E">
        <w:rPr>
          <w:vertAlign w:val="superscript"/>
        </w:rPr>
        <w:t>2</w:t>
      </w:r>
      <w:r w:rsidR="00A5528E" w:rsidRPr="00A5528E">
        <w:t>, Galina Dobele</w:t>
      </w:r>
      <w:r w:rsidR="00A5528E" w:rsidRPr="00A5528E">
        <w:rPr>
          <w:vertAlign w:val="superscript"/>
        </w:rPr>
        <w:t>2</w:t>
      </w:r>
      <w:r w:rsidR="00A5528E" w:rsidRPr="00A5528E">
        <w:t xml:space="preserve">, </w:t>
      </w:r>
      <w:proofErr w:type="spellStart"/>
      <w:r w:rsidR="00A5528E" w:rsidRPr="00A5528E">
        <w:t>Aivars</w:t>
      </w:r>
      <w:proofErr w:type="spellEnd"/>
      <w:r w:rsidR="00A5528E" w:rsidRPr="00A5528E">
        <w:t xml:space="preserve"> Zhurinsh</w:t>
      </w:r>
      <w:r w:rsidR="00A5528E" w:rsidRPr="00A5528E">
        <w:rPr>
          <w:vertAlign w:val="superscript"/>
        </w:rPr>
        <w:t>2</w:t>
      </w:r>
      <w:r w:rsidR="00A5528E" w:rsidRPr="00A5528E">
        <w:t>, Loreta Tamašauskaitė-Tamašiūnaitė</w:t>
      </w:r>
      <w:r w:rsidR="00A5528E" w:rsidRPr="00A5528E">
        <w:rPr>
          <w:vertAlign w:val="superscript"/>
        </w:rPr>
        <w:t>1</w:t>
      </w:r>
      <w:r w:rsidR="00A5528E" w:rsidRPr="00A5528E">
        <w:t xml:space="preserve">, </w:t>
      </w:r>
      <w:proofErr w:type="spellStart"/>
      <w:r w:rsidR="00A5528E" w:rsidRPr="00A5528E">
        <w:t>Eugenijus</w:t>
      </w:r>
      <w:proofErr w:type="spellEnd"/>
      <w:r w:rsidR="00A5528E" w:rsidRPr="00A5528E">
        <w:t xml:space="preserve"> Norkus</w:t>
      </w:r>
      <w:r w:rsidR="00A5528E" w:rsidRPr="00A5528E">
        <w:rPr>
          <w:vertAlign w:val="superscript"/>
        </w:rPr>
        <w:t>1</w:t>
      </w:r>
    </w:p>
    <w:p w14:paraId="76D9AA60" w14:textId="5385F164" w:rsidR="00A70E04" w:rsidRDefault="00A5528E" w:rsidP="00E0716D">
      <w:pPr>
        <w:jc w:val="center"/>
        <w:rPr>
          <w:i/>
        </w:rPr>
      </w:pPr>
      <w:r w:rsidRPr="00A5528E">
        <w:rPr>
          <w:i/>
          <w:vertAlign w:val="superscript"/>
        </w:rPr>
        <w:t>1</w:t>
      </w:r>
      <w:r w:rsidR="00A70E04" w:rsidRPr="00A70E04">
        <w:rPr>
          <w:i/>
        </w:rPr>
        <w:t xml:space="preserve">Department of Catalysis, Center for Physical Sciences and Technology (FTMC) </w:t>
      </w:r>
    </w:p>
    <w:p w14:paraId="5BC2077F" w14:textId="548A7719" w:rsidR="00325004" w:rsidRDefault="00A70E04" w:rsidP="00E0716D">
      <w:pPr>
        <w:jc w:val="center"/>
        <w:rPr>
          <w:i/>
        </w:rPr>
      </w:pPr>
      <w:proofErr w:type="spellStart"/>
      <w:r>
        <w:rPr>
          <w:i/>
        </w:rPr>
        <w:t>Saulėtekio</w:t>
      </w:r>
      <w:proofErr w:type="spellEnd"/>
      <w:r>
        <w:rPr>
          <w:i/>
        </w:rPr>
        <w:t xml:space="preserve"> Ave. 3, LT-10257 </w:t>
      </w:r>
      <w:r w:rsidRPr="00A70E04">
        <w:rPr>
          <w:i/>
        </w:rPr>
        <w:t>Vilnius, Lithuania</w:t>
      </w:r>
    </w:p>
    <w:p w14:paraId="6F7B27D1" w14:textId="7BBC6A2C" w:rsidR="00A5528E" w:rsidRPr="00A5528E" w:rsidRDefault="00A5528E" w:rsidP="00E0716D">
      <w:pPr>
        <w:jc w:val="center"/>
        <w:rPr>
          <w:i/>
          <w:iCs/>
        </w:rPr>
      </w:pPr>
      <w:r w:rsidRPr="00A5528E">
        <w:rPr>
          <w:i/>
          <w:iCs/>
          <w:vertAlign w:val="superscript"/>
        </w:rPr>
        <w:t>2</w:t>
      </w:r>
      <w:r w:rsidRPr="00A5528E">
        <w:rPr>
          <w:i/>
          <w:iCs/>
        </w:rPr>
        <w:t>Latvian State Institute of Wood Chemistry</w:t>
      </w:r>
      <w:r>
        <w:rPr>
          <w:i/>
          <w:iCs/>
        </w:rPr>
        <w:t xml:space="preserve"> (LSIWC)</w:t>
      </w:r>
    </w:p>
    <w:p w14:paraId="5F07E35B" w14:textId="5873D9E6" w:rsidR="00A5528E" w:rsidRPr="00A5528E" w:rsidRDefault="00A5528E" w:rsidP="00E0716D">
      <w:pPr>
        <w:jc w:val="center"/>
        <w:rPr>
          <w:i/>
          <w:iCs/>
        </w:rPr>
      </w:pPr>
      <w:proofErr w:type="spellStart"/>
      <w:r w:rsidRPr="00A5528E">
        <w:rPr>
          <w:i/>
          <w:iCs/>
        </w:rPr>
        <w:t>Dzerbenes</w:t>
      </w:r>
      <w:proofErr w:type="spellEnd"/>
      <w:r w:rsidRPr="00A5528E">
        <w:rPr>
          <w:i/>
          <w:iCs/>
        </w:rPr>
        <w:t xml:space="preserve"> Str. 27, LV-1006 Riga, Latvia</w:t>
      </w:r>
    </w:p>
    <w:p w14:paraId="3DA66DCD" w14:textId="42C63BF8" w:rsidR="00685C1A" w:rsidRPr="00685C1A" w:rsidRDefault="00A70E04" w:rsidP="00E0716D">
      <w:pPr>
        <w:jc w:val="center"/>
        <w:rPr>
          <w:i/>
        </w:rPr>
      </w:pPr>
      <w:r>
        <w:rPr>
          <w:i/>
        </w:rPr>
        <w:t>karina.vjunova@ftmc.lt</w:t>
      </w:r>
    </w:p>
    <w:p w14:paraId="34CF2312" w14:textId="77777777" w:rsidR="00325004" w:rsidRDefault="00325004" w:rsidP="00E0716D">
      <w:pPr>
        <w:jc w:val="center"/>
      </w:pPr>
    </w:p>
    <w:p w14:paraId="09813BF7" w14:textId="4CEA7E45" w:rsidR="00325004" w:rsidRDefault="00B02907" w:rsidP="00E0716D">
      <w:pPr>
        <w:jc w:val="both"/>
      </w:pPr>
      <w:r w:rsidRPr="00B02907">
        <w:t>The development of cost-effective and sustainable electrocatalysts is critical for advancing green energy technologies. This study presents a straightforward strategy for synthesizing novel, efficient, and inexpensive functional carbon-based materials supported with non-noble metals, derived from abundant natural biomass. The proposed materials provide a viable alternative to conventional noble metal catalysts for the hydrazine oxidation reaction (</w:t>
      </w:r>
      <w:proofErr w:type="spellStart"/>
      <w:r w:rsidRPr="00B02907">
        <w:t>HzOR</w:t>
      </w:r>
      <w:proofErr w:type="spellEnd"/>
      <w:r w:rsidRPr="00B02907">
        <w:t>), offering significant potential for the widespread implementation of energy-efficient hydrazine-based systems.</w:t>
      </w:r>
    </w:p>
    <w:p w14:paraId="3DE61EB7" w14:textId="18556962" w:rsidR="00325004" w:rsidRDefault="00B02907" w:rsidP="00E0716D">
      <w:pPr>
        <w:jc w:val="both"/>
      </w:pPr>
      <w:r w:rsidRPr="00B02907">
        <w:t xml:space="preserve">Nitrogen-doped carbon (N–C) materials were synthesized from birch wood chips via hydrothermal </w:t>
      </w:r>
      <w:proofErr w:type="spellStart"/>
      <w:r w:rsidRPr="00B02907">
        <w:t>carbonisation</w:t>
      </w:r>
      <w:proofErr w:type="spellEnd"/>
      <w:r w:rsidRPr="00B02907">
        <w:t xml:space="preserve"> (HTC), followed by activation and nitrogen doping of the resulting </w:t>
      </w:r>
      <w:proofErr w:type="spellStart"/>
      <w:r w:rsidRPr="00B02907">
        <w:t>hydrochar</w:t>
      </w:r>
      <w:proofErr w:type="spellEnd"/>
      <w:r w:rsidRPr="00B02907">
        <w:t>. Subsequently, highly active iron (Fe) and manganese–iron (Mn</w:t>
      </w:r>
      <w:r w:rsidR="004806D6" w:rsidRPr="00B02907">
        <w:t>–</w:t>
      </w:r>
      <w:r w:rsidRPr="00B02907">
        <w:t>Fe)-supported N–C catalysts were fabricated using a hydrothermal synthesis approach. The morphology, structural characteristics, and elemental composition of Mn</w:t>
      </w:r>
      <w:r w:rsidR="004806D6" w:rsidRPr="00B02907">
        <w:t>–</w:t>
      </w:r>
      <w:r w:rsidRPr="00B02907">
        <w:t>Fe, Fe/N–C, and Mn</w:t>
      </w:r>
      <w:r w:rsidR="004806D6" w:rsidRPr="00B02907">
        <w:t>–</w:t>
      </w:r>
      <w:r w:rsidRPr="00B02907">
        <w:t>Fe/N–C catalysts were systematically characterized using scanning electron microscopy (SEM), X-ray diffraction (XRD), and energy-dispersive X-ray spectroscopy (ED</w:t>
      </w:r>
      <w:r w:rsidR="004806D6">
        <w:t>X</w:t>
      </w:r>
      <w:r w:rsidRPr="00B02907">
        <w:t>).</w:t>
      </w:r>
    </w:p>
    <w:p w14:paraId="00328FBF" w14:textId="2FAF2C09" w:rsidR="004806D6" w:rsidRDefault="004806D6" w:rsidP="00E0716D">
      <w:pPr>
        <w:jc w:val="both"/>
      </w:pPr>
      <w:r w:rsidRPr="004806D6">
        <w:t xml:space="preserve">The electrocatalytic performance toward </w:t>
      </w:r>
      <w:proofErr w:type="spellStart"/>
      <w:r w:rsidRPr="004806D6">
        <w:t>HzOR</w:t>
      </w:r>
      <w:proofErr w:type="spellEnd"/>
      <w:r w:rsidRPr="004806D6">
        <w:t xml:space="preserve"> in alkaline media was evaluated by cyclic voltammetry (CV). Among the investigated materials, the Mn</w:t>
      </w:r>
      <w:r w:rsidRPr="00B02907">
        <w:t>–</w:t>
      </w:r>
      <w:r w:rsidRPr="004806D6">
        <w:t>Fe/N–C catalyst exhibited superior performance, demonstrating a significantly lower onset potential and higher current density compared to both Fe/N–C and unsupported Mn</w:t>
      </w:r>
      <w:r w:rsidRPr="00B02907">
        <w:t>–</w:t>
      </w:r>
      <w:r w:rsidRPr="004806D6">
        <w:t>Fe catalysts. This enhanced activity is attributed to the synergistic interaction between Mn</w:t>
      </w:r>
      <w:r w:rsidRPr="00B02907">
        <w:t>–</w:t>
      </w:r>
      <w:r w:rsidRPr="004806D6">
        <w:t>Fe species and the highly porous, nitrogen-doped carbon matrix, which provides an enlarged active surface area and facilitates efficient charge transfer.</w:t>
      </w:r>
    </w:p>
    <w:p w14:paraId="1C2FC1F6" w14:textId="6E392EF5" w:rsidR="004806D6" w:rsidRDefault="004806D6" w:rsidP="00E0716D">
      <w:pPr>
        <w:jc w:val="both"/>
      </w:pPr>
      <w:r w:rsidRPr="004806D6">
        <w:t>The findings highlight that Mn</w:t>
      </w:r>
      <w:r w:rsidRPr="00B02907">
        <w:t>–</w:t>
      </w:r>
      <w:r w:rsidRPr="004806D6">
        <w:t>Fe/N–C materials, derived from low-cost and sustainable biomass resources, represent a promising class of anode catalysts for application in direct hydrazine fuel cells (DHFCs). This work underscores the potential of integrating biomass-derived carbon supports with non-noble metals to develop scalable and environmentally benign electrocatalysts for future energy systems.</w:t>
      </w:r>
    </w:p>
    <w:p w14:paraId="2EC9A1A0" w14:textId="77777777" w:rsidR="004806D6" w:rsidRDefault="004806D6" w:rsidP="00E0716D">
      <w:pPr>
        <w:jc w:val="both"/>
      </w:pPr>
    </w:p>
    <w:p w14:paraId="1231CBB9" w14:textId="02EBEB93" w:rsidR="00325004" w:rsidRPr="00A5528E" w:rsidRDefault="00A5528E" w:rsidP="00E0716D">
      <w:pPr>
        <w:jc w:val="both"/>
        <w:rPr>
          <w:b/>
          <w:bCs/>
        </w:rPr>
      </w:pPr>
      <w:r w:rsidRPr="00A5528E">
        <w:rPr>
          <w:b/>
          <w:bCs/>
        </w:rPr>
        <w:t>Acknowledgments</w:t>
      </w:r>
    </w:p>
    <w:p w14:paraId="1B613666" w14:textId="428B9F7E" w:rsidR="00E0716D" w:rsidRDefault="00A5528E" w:rsidP="00E0716D">
      <w:pPr>
        <w:jc w:val="both"/>
      </w:pPr>
      <w:r w:rsidRPr="00A5528E">
        <w:t>This research was funded by the Research Council of Lithuania (LMTLT), grant number P-ST-23-310.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C0MDE1NrQ0NzU1NjNQ0lEKTi0uzszPAykwrAUAI155mSwAAAA="/>
  </w:docVars>
  <w:rsids>
    <w:rsidRoot w:val="00325004"/>
    <w:rsid w:val="00041EFD"/>
    <w:rsid w:val="00325004"/>
    <w:rsid w:val="004806D6"/>
    <w:rsid w:val="00536366"/>
    <w:rsid w:val="00685C1A"/>
    <w:rsid w:val="00932336"/>
    <w:rsid w:val="00A41858"/>
    <w:rsid w:val="00A5528E"/>
    <w:rsid w:val="00A70E04"/>
    <w:rsid w:val="00B02907"/>
    <w:rsid w:val="00D900C9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4632A4"/>
  <w14:defaultImageDpi w14:val="300"/>
  <w15:docId w15:val="{FFA7D409-0CCD-4523-987B-6DF7C1E4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user_lor</cp:lastModifiedBy>
  <cp:revision>5</cp:revision>
  <cp:lastPrinted>2013-10-21T12:07:00Z</cp:lastPrinted>
  <dcterms:created xsi:type="dcterms:W3CDTF">2026-03-26T08:02:00Z</dcterms:created>
  <dcterms:modified xsi:type="dcterms:W3CDTF">2026-03-26T08:21:00Z</dcterms:modified>
</cp:coreProperties>
</file>