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osition w:val="0"/>
          <w:sz w:val="20"/>
          <w:vertAlign w:val="baseline"/>
        </w:rPr>
      </w:pPr>
      <w:r>
        <w:rPr>
          <w:b/>
          <w:position w:val="0"/>
          <w:sz w:val="28"/>
          <w:vertAlign w:val="baseline"/>
        </w:rPr>
        <w:t>Electrochemical and Spectroscopic Signatures of the Jahn–Teller Effect in Platinum-Monodoped Au</w:t>
      </w:r>
      <w:r>
        <w:rPr>
          <w:b/>
          <w:sz w:val="28"/>
          <w:vertAlign w:val="subscript"/>
        </w:rPr>
        <w:t>24</w:t>
      </w:r>
      <w:r>
        <w:rPr>
          <w:b/>
          <w:position w:val="0"/>
          <w:sz w:val="28"/>
          <w:vertAlign w:val="baseline"/>
        </w:rPr>
        <w:t>Pt(SR)</w:t>
      </w:r>
      <w:r>
        <w:rPr>
          <w:b/>
          <w:sz w:val="28"/>
          <w:vertAlign w:val="subscript"/>
        </w:rPr>
        <w:t>18</w:t>
      </w:r>
      <w:r>
        <w:rPr>
          <w:b/>
          <w:position w:val="0"/>
          <w:sz w:val="28"/>
          <w:vertAlign w:val="baseline"/>
        </w:rPr>
        <w:t xml:space="preserve"> Clusters</w:t>
      </w:r>
    </w:p>
    <w:p>
      <w:pPr>
        <w:pStyle w:val="Normal"/>
        <w:jc w:val="center"/>
        <w:rPr>
          <w:b/>
          <w:sz w:val="28"/>
        </w:rPr>
      </w:pPr>
      <w:r>
        <w:rPr>
          <w:b/>
          <w:sz w:val="28"/>
        </w:rPr>
      </w:r>
    </w:p>
    <w:p>
      <w:pPr>
        <w:pStyle w:val="Normal"/>
        <w:jc w:val="center"/>
        <w:rPr/>
      </w:pPr>
      <w:r>
        <w:rPr>
          <w:u w:val="single"/>
        </w:rPr>
        <w:t>Konstanty Zdunek</w:t>
      </w:r>
      <w:r>
        <w:rPr/>
        <w:t>, Tatiana Korona, Agnieszka Więckowska</w:t>
      </w:r>
    </w:p>
    <w:p>
      <w:pPr>
        <w:pStyle w:val="Normal"/>
        <w:jc w:val="center"/>
        <w:rPr>
          <w:i/>
        </w:rPr>
      </w:pPr>
      <w:r>
        <w:rPr>
          <w:i/>
        </w:rPr>
        <w:t>Faculty of Chemistry, University of Warsaw</w:t>
      </w:r>
    </w:p>
    <w:p>
      <w:pPr>
        <w:pStyle w:val="Normal"/>
        <w:jc w:val="center"/>
        <w:rPr/>
      </w:pPr>
      <w:r>
        <w:rPr>
          <w:i/>
        </w:rPr>
        <w:t>Pasteura 1 St., 02-093 Warsaw, Poland</w:t>
      </w:r>
    </w:p>
    <w:p>
      <w:pPr>
        <w:pStyle w:val="Normal"/>
        <w:jc w:val="center"/>
        <w:rPr>
          <w:i/>
        </w:rPr>
      </w:pPr>
      <w:hyperlink r:id="rId2">
        <w:r>
          <w:rPr>
            <w:rStyle w:val="Hyperlink"/>
            <w:i/>
          </w:rPr>
          <w:t>k.zdunek10@uw.edu.pl</w:t>
        </w:r>
      </w:hyperlink>
    </w:p>
    <w:p>
      <w:pPr>
        <w:pStyle w:val="Normal"/>
        <w:jc w:val="center"/>
        <w:rPr/>
      </w:pPr>
      <w:r>
        <w:rPr/>
      </w:r>
    </w:p>
    <w:p>
      <w:pPr>
        <w:pStyle w:val="Normal"/>
        <w:jc w:val="both"/>
        <w:rPr/>
      </w:pPr>
      <w:r>
        <w:rPr/>
        <w:t>Thiolate-protected gold clusters Au</w:t>
      </w:r>
      <w:r>
        <w:rPr>
          <w:vertAlign w:val="subscript"/>
        </w:rPr>
        <w:t>25</w:t>
      </w:r>
      <w:r>
        <w:rPr/>
        <w:t>​(SR)</w:t>
      </w:r>
      <w:r>
        <w:rPr>
          <w:vertAlign w:val="subscript"/>
        </w:rPr>
        <w:t>18</w:t>
      </w:r>
      <w:r>
        <w:rPr/>
        <w:t xml:space="preserve"> (Au</w:t>
      </w:r>
      <w:r>
        <w:rPr>
          <w:vertAlign w:val="subscript"/>
        </w:rPr>
        <w:t>25</w:t>
      </w:r>
      <w:r>
        <w:rPr/>
        <w:t>) can undergo heterometal doping, including platinum incorporation, yielding new electrocatalytic materials with distinguishable properties. In contrast to the Au</w:t>
      </w:r>
      <w:r>
        <w:rPr>
          <w:vertAlign w:val="subscript"/>
        </w:rPr>
        <w:t>25</w:t>
      </w:r>
      <w:r>
        <w:rPr/>
        <w:t xml:space="preserve"> form, the Au</w:t>
      </w:r>
      <w:r>
        <w:rPr>
          <w:vertAlign w:val="subscript"/>
        </w:rPr>
        <w:t>24</w:t>
      </w:r>
      <w:r>
        <w:rPr/>
        <w:t>Pt(SR)</w:t>
      </w:r>
      <w:r>
        <w:rPr>
          <w:vertAlign w:val="subscript"/>
        </w:rPr>
        <w:t>18</w:t>
      </w:r>
      <w:r>
        <w:rPr/>
        <w:t xml:space="preserve"> (Au</w:t>
      </w:r>
      <w:r>
        <w:rPr>
          <w:vertAlign w:val="subscript"/>
        </w:rPr>
        <w:t>25</w:t>
      </w:r>
      <w:r>
        <w:rPr>
          <w:position w:val="0"/>
          <w:sz w:val="20"/>
          <w:vertAlign w:val="baseline"/>
        </w:rPr>
        <w:t>Pt</w:t>
      </w:r>
      <w:r>
        <w:rPr/>
        <w:t>) cluster (maintaining the 0 charge) exhibits an enhanced Jahn–Teller effect, manifested by the elongation and contraction of selected Au–Pt bonds within the cluster core. Using density functional theory, we describe the structure of this system by analogy to classical distortions in octahedral geometries and rationalize the observed splitting of the superatomic 1P orbitals within a group-theoretical framework.</w:t>
      </w:r>
    </w:p>
    <w:p>
      <w:pPr>
        <w:pStyle w:val="Normal"/>
        <w:jc w:val="both"/>
        <w:rPr/>
      </w:pPr>
      <w:r>
        <w:rPr/>
        <w:br/>
        <w:t>The stronger Jahn–Teller distortion in the Pt-doped cluster contributes to the increased thermodynamic stability of the Au</w:t>
      </w:r>
      <w:r>
        <w:rPr>
          <w:vertAlign w:val="subscript"/>
        </w:rPr>
        <w:t>24</w:t>
      </w:r>
      <w:r>
        <w:rPr/>
        <w:t>Pt</w:t>
      </w:r>
      <w:r>
        <w:rPr>
          <w:vertAlign w:val="superscript"/>
        </w:rPr>
        <w:t>0</w:t>
      </w:r>
      <w:r>
        <w:rPr/>
        <w:t xml:space="preserve"> form relative to the all-gold clusters Au</w:t>
      </w:r>
      <w:r>
        <w:rPr>
          <w:vertAlign w:val="subscript"/>
        </w:rPr>
        <w:t>25</w:t>
      </w:r>
      <w:r>
        <w:rPr>
          <w:vertAlign w:val="superscript"/>
        </w:rPr>
        <w:t>−</w:t>
      </w:r>
      <w:r>
        <w:rPr/>
        <w:t xml:space="preserve"> and Au</w:t>
      </w:r>
      <w:r>
        <w:rPr>
          <w:vertAlign w:val="subscript"/>
        </w:rPr>
        <w:t>25</w:t>
      </w:r>
      <w:r>
        <w:rPr>
          <w:vertAlign w:val="superscript"/>
        </w:rPr>
        <w:t>0</w:t>
      </w:r>
      <w:r>
        <w:rPr/>
        <w:t xml:space="preserve"> within the same thiolate environment, which is reflected in its higher oxidation potential. The oxidation and reduction processes of Au</w:t>
      </w:r>
      <w:r>
        <w:rPr>
          <w:vertAlign w:val="subscript"/>
        </w:rPr>
        <w:t>25</w:t>
      </w:r>
      <w:r>
        <w:rPr/>
        <w:t xml:space="preserve"> at low (absolute) charge states are expected to follow Nernstian behavior; however, we demonstrate that the Au</w:t>
      </w:r>
      <w:r>
        <w:rPr>
          <w:vertAlign w:val="subscript"/>
        </w:rPr>
        <w:t>25</w:t>
      </w:r>
      <w:r>
        <w:rPr>
          <w:vertAlign w:val="superscript"/>
        </w:rPr>
        <w:t>3+</w:t>
      </w:r>
      <w:r>
        <w:rPr/>
        <w:t xml:space="preserve"> form is unstable, with a lifetime not exceeding several seconds. Clusters protected by longer-chain alkanethiols (e.g., hexanethiol versus butanethiol) exhibit enhanced stability, and the use of longer ligands favors the formation of Au</w:t>
      </w:r>
      <w:r>
        <w:rPr>
          <w:vertAlign w:val="subscript"/>
        </w:rPr>
        <w:t>24</w:t>
      </w:r>
      <w:r>
        <w:rPr/>
        <w:t>Pt species over Au</w:t>
      </w:r>
      <w:r>
        <w:rPr>
          <w:vertAlign w:val="subscript"/>
        </w:rPr>
        <w:t>25</w:t>
      </w:r>
      <w:r>
        <w:rPr/>
        <w:t xml:space="preserve"> in the reaction mixture.</w:t>
      </w:r>
    </w:p>
    <w:p>
      <w:pPr>
        <w:pStyle w:val="Normal"/>
        <w:jc w:val="both"/>
        <w:rPr/>
      </w:pPr>
      <w:r>
        <w:rPr/>
      </w:r>
    </w:p>
    <w:p>
      <w:pPr>
        <w:pStyle w:val="Normal"/>
        <w:jc w:val="both"/>
        <w:rPr/>
      </w:pPr>
      <w:r>
        <w:rPr/>
        <w:t xml:space="preserve">Analysis of both experimental and simulated IR spectral shifts indicates a preference for </w:t>
      </w:r>
      <w:r>
        <w:rPr>
          <w:i/>
          <w:iCs/>
        </w:rPr>
        <w:t>gauche</w:t>
      </w:r>
      <w:r>
        <w:rPr/>
        <w:t xml:space="preserve"> conformations in Au</w:t>
      </w:r>
      <w:r>
        <w:rPr>
          <w:vertAlign w:val="subscript"/>
        </w:rPr>
        <w:t>24</w:t>
      </w:r>
      <w:r>
        <w:rPr/>
        <w:t>Pt</w:t>
      </w:r>
      <w:r>
        <w:rPr>
          <w:vertAlign w:val="superscript"/>
        </w:rPr>
        <w:t>0</w:t>
      </w:r>
      <w:r>
        <w:rPr/>
        <w:t xml:space="preserve"> clusters relative to </w:t>
      </w:r>
      <w:r>
        <w:rPr>
          <w:i/>
          <w:iCs/>
        </w:rPr>
        <w:t>all</w:t>
      </w:r>
      <w:r>
        <w:rPr/>
        <w:t>-</w:t>
      </w:r>
      <w:r>
        <w:rPr>
          <w:i/>
          <w:iCs/>
        </w:rPr>
        <w:t>trans</w:t>
      </w:r>
      <w:r>
        <w:rPr/>
        <w:t xml:space="preserve"> configurations, enabling partial exposure of selected atoms within the ligand shell. This structural rearrangement gives rise to distinct catalytic properties compared to Au</w:t>
      </w:r>
      <w:r>
        <w:rPr>
          <w:vertAlign w:val="subscript"/>
        </w:rPr>
        <w:t>25</w:t>
      </w:r>
      <w:r>
        <w:rPr/>
        <w:t>, with enhanced reactivity toward electrophilic substrates such as H</w:t>
      </w:r>
      <w:r>
        <w:rPr>
          <w:vertAlign w:val="superscript"/>
        </w:rPr>
        <w:t>+</w:t>
      </w:r>
      <w:r>
        <w:rPr/>
        <w:t xml:space="preserve"> ions and hydrogen peroxide molecules.</w:t>
      </w:r>
    </w:p>
    <w:p>
      <w:pPr>
        <w:pStyle w:val="Normal"/>
        <w:jc w:val="both"/>
        <w:rPr/>
      </w:pPr>
      <w:r>
        <w:rPr/>
      </w:r>
    </w:p>
    <w:p>
      <w:pPr>
        <w:pStyle w:val="Normal"/>
        <w:jc w:val="both"/>
        <w:rPr/>
      </w:pPr>
      <w:r>
        <w:rPr/>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5400040" cy="2561590"/>
            <wp:effectExtent l="0" t="0" r="0" b="0"/>
            <wp:wrapSquare wrapText="largest"/>
            <wp:docPr id="1" name="Obra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1"/>
                    <pic:cNvPicPr>
                      <a:picLocks noChangeAspect="1" noChangeArrowheads="1"/>
                    </pic:cNvPicPr>
                  </pic:nvPicPr>
                  <pic:blipFill>
                    <a:blip r:embed="rId3"/>
                    <a:stretch>
                      <a:fillRect/>
                    </a:stretch>
                  </pic:blipFill>
                  <pic:spPr bwMode="auto">
                    <a:xfrm>
                      <a:off x="0" y="0"/>
                      <a:ext cx="5400040" cy="2561590"/>
                    </a:xfrm>
                    <a:prstGeom prst="rect">
                      <a:avLst/>
                    </a:prstGeom>
                    <a:noFill/>
                  </pic:spPr>
                </pic:pic>
              </a:graphicData>
            </a:graphic>
          </wp:anchor>
        </w:drawing>
      </w:r>
    </w:p>
    <w:p>
      <w:pPr>
        <w:pStyle w:val="Normal"/>
        <w:jc w:val="both"/>
        <w:rPr/>
      </w:pPr>
      <w:r>
        <w:rPr/>
      </w:r>
    </w:p>
    <w:p>
      <w:pPr>
        <w:pStyle w:val="Normal"/>
        <w:jc w:val="both"/>
        <w:rPr/>
      </w:pPr>
      <w:r>
        <w:rPr/>
      </w:r>
    </w:p>
    <w:p>
      <w:pPr>
        <w:pStyle w:val="Normal"/>
        <w:jc w:val="both"/>
        <w:rPr/>
      </w:pPr>
      <w:r>
        <w:rPr/>
      </w:r>
    </w:p>
    <w:sectPr>
      <w:type w:val="nextPage"/>
      <w:pgSz w:w="11906" w:h="16838"/>
      <w:pgMar w:left="1701" w:right="1701" w:gutter="0" w:header="0" w:top="1701" w:footer="0" w:bottom="170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Times New Roman">
    <w:charset w:val="ee" w:characterSet="windows-1250"/>
    <w:family w:val="roman"/>
    <w:pitch w:val="variable"/>
  </w:font>
  <w:font w:name="Liberation Sans">
    <w:altName w:val="Arial"/>
    <w:charset w:val="ee" w:characterSet="windows-1250"/>
    <w:family w:val="swiss"/>
    <w:pitch w:val="variable"/>
  </w:font>
</w:fonts>
</file>

<file path=word/settings.xml><?xml version="1.0" encoding="utf-8"?>
<w:settings xmlns:w="http://schemas.openxmlformats.org/wordprocessingml/2006/main">
  <w:zoom w:percent="110"/>
  <w:defaultTabStop w:val="720"/>
  <w:autoHyphenation w:val="true"/>
  <w:hyphenationZone w:val="360"/>
  <w:doNotHyphenateCap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0716d"/>
    <w:pPr>
      <w:widowControl w:val="false"/>
      <w:suppressAutoHyphens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character" w:styleId="DefaultParagraphFont" w:default="1">
    <w:name w:val="Default Paragraph Font"/>
    <w:semiHidden/>
    <w:qFormat/>
    <w:rPr/>
  </w:style>
  <w:style w:type="character" w:styleId="Znakiprzypiswdolnychuser">
    <w:name w:val="Znaki przypisów dolnych (user)"/>
    <w:qFormat/>
    <w:rPr/>
  </w:style>
  <w:style w:type="character" w:styleId="Znakiprzypiswkocowychuser">
    <w:name w:val="Znaki przypisów końcowych (user)"/>
    <w:qFormat/>
    <w:rPr/>
  </w:style>
  <w:style w:type="character" w:styleId="Hyperlink">
    <w:name w:val="Hyperlink"/>
    <w:rPr>
      <w:color w:val="000080"/>
      <w:u w:val="single"/>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agwekuser">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name w:val="Indeks (user)"/>
    <w:basedOn w:val="Normal"/>
    <w:qFormat/>
    <w:pPr>
      <w:suppressLineNumbers/>
    </w:pPr>
    <w:rPr>
      <w:rFonts w:cs="Lucida Sans"/>
    </w:rPr>
  </w:style>
  <w:style w:type="numbering" w:styleId="Bezlistyuser" w:default="1">
    <w:name w:val="Bez listy (user)"/>
    <w:semiHidden/>
    <w:qFormat/>
  </w:style>
  <w:style w:type="table" w:default="1" w:styleId="TableNormal">
    <w:name w:val="Normal Table"/>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zdunek10@uw.edu.pl" TargetMode="External"/><Relationship Id="rId3" Type="http://schemas.openxmlformats.org/officeDocument/2006/relationships/image" Target="media/image1.jpe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51</TotalTime>
  <Application>LibreOffice/25.8.6.2$Windows_X86_64 LibreOffice_project/b4b39682cd9868fa725bc664aff94278d315bd04</Application>
  <AppVersion>15.0000</AppVersion>
  <Pages>1</Pages>
  <Words>198</Words>
  <Characters>1272</Characters>
  <CharactersWithSpaces>2081</CharactersWithSpaces>
  <Paragraphs>8</Paragraphs>
  <Company>Electrochemical Society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2021-03-10T13:20:00Z</dcterms:created>
  <dc:creator>Electrochemical</dc:creator>
  <dc:description/>
  <dc:language>pl-PL</dc:language>
  <cp:lastModifiedBy/>
  <cp:lastPrinted>2013-10-21T12:07:00Z</cp:lastPrinted>
  <dcterms:modified xsi:type="dcterms:W3CDTF">2026-05-31T16:05:01Z</dcterms:modified>
  <cp:revision>8</cp:revision>
  <dc:subject/>
  <dc:title>Title</dc:title>
</cp:coreProperties>
</file>

<file path=docProps/custom.xml><?xml version="1.0" encoding="utf-8"?>
<Properties xmlns="http://schemas.openxmlformats.org/officeDocument/2006/custom-properties" xmlns:vt="http://schemas.openxmlformats.org/officeDocument/2006/docPropsVTypes"/>
</file>