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4BF10" w14:textId="76108239" w:rsidR="00325004" w:rsidRPr="00A86EB9" w:rsidRDefault="00715C84" w:rsidP="00E0716D">
      <w:pPr>
        <w:jc w:val="center"/>
        <w:rPr>
          <w:b/>
          <w:sz w:val="28"/>
        </w:rPr>
      </w:pPr>
      <w:r w:rsidRPr="00715C84">
        <w:rPr>
          <w:b/>
          <w:sz w:val="28"/>
        </w:rPr>
        <w:t>Marcus-</w:t>
      </w:r>
      <w:r w:rsidR="009A0A79">
        <w:rPr>
          <w:b/>
          <w:sz w:val="28"/>
        </w:rPr>
        <w:t>t</w:t>
      </w:r>
      <w:r w:rsidRPr="00715C84">
        <w:rPr>
          <w:b/>
          <w:sz w:val="28"/>
        </w:rPr>
        <w:t xml:space="preserve">ype </w:t>
      </w:r>
      <w:r w:rsidR="009A0A79">
        <w:rPr>
          <w:b/>
          <w:sz w:val="28"/>
        </w:rPr>
        <w:t>k</w:t>
      </w:r>
      <w:r w:rsidRPr="00715C84">
        <w:rPr>
          <w:b/>
          <w:sz w:val="28"/>
        </w:rPr>
        <w:t xml:space="preserve">inetics </w:t>
      </w:r>
      <w:r w:rsidR="009A0A79">
        <w:rPr>
          <w:b/>
          <w:sz w:val="28"/>
        </w:rPr>
        <w:t>c</w:t>
      </w:r>
      <w:r w:rsidRPr="00715C84">
        <w:rPr>
          <w:b/>
          <w:sz w:val="28"/>
        </w:rPr>
        <w:t xml:space="preserve">ontrols </w:t>
      </w:r>
      <w:r w:rsidR="009A0A79">
        <w:rPr>
          <w:b/>
          <w:sz w:val="28"/>
        </w:rPr>
        <w:t>s</w:t>
      </w:r>
      <w:r w:rsidRPr="00715C84">
        <w:rPr>
          <w:b/>
          <w:sz w:val="28"/>
        </w:rPr>
        <w:t xml:space="preserve">inglet and </w:t>
      </w:r>
      <w:r w:rsidR="009A0A79">
        <w:rPr>
          <w:b/>
          <w:sz w:val="28"/>
        </w:rPr>
        <w:t>t</w:t>
      </w:r>
      <w:r w:rsidRPr="00715C84">
        <w:rPr>
          <w:b/>
          <w:sz w:val="28"/>
        </w:rPr>
        <w:t xml:space="preserve">riplet </w:t>
      </w:r>
      <w:r w:rsidR="009A0A79">
        <w:rPr>
          <w:b/>
          <w:sz w:val="28"/>
        </w:rPr>
        <w:t>o</w:t>
      </w:r>
      <w:r w:rsidRPr="00715C84">
        <w:rPr>
          <w:b/>
          <w:sz w:val="28"/>
        </w:rPr>
        <w:t xml:space="preserve">xygen </w:t>
      </w:r>
      <w:r w:rsidR="009A0A79">
        <w:rPr>
          <w:b/>
          <w:sz w:val="28"/>
        </w:rPr>
        <w:t>e</w:t>
      </w:r>
      <w:r w:rsidRPr="00715C84">
        <w:rPr>
          <w:b/>
          <w:sz w:val="28"/>
        </w:rPr>
        <w:t>volution from</w:t>
      </w:r>
      <w:r>
        <w:rPr>
          <w:b/>
          <w:sz w:val="28"/>
        </w:rPr>
        <w:t xml:space="preserve"> </w:t>
      </w:r>
      <w:r w:rsidR="009A0A79">
        <w:rPr>
          <w:b/>
          <w:sz w:val="28"/>
        </w:rPr>
        <w:t>s</w:t>
      </w:r>
      <w:r>
        <w:rPr>
          <w:b/>
          <w:sz w:val="28"/>
        </w:rPr>
        <w:t>uperoxide</w:t>
      </w:r>
    </w:p>
    <w:p w14:paraId="666298AF" w14:textId="77777777" w:rsidR="00325004" w:rsidRPr="00A86EB9" w:rsidRDefault="00325004" w:rsidP="00E0716D">
      <w:pPr>
        <w:jc w:val="center"/>
        <w:rPr>
          <w:b/>
          <w:sz w:val="28"/>
        </w:rPr>
      </w:pPr>
    </w:p>
    <w:p w14:paraId="6F88638A" w14:textId="4AD90C68" w:rsidR="00325004" w:rsidRPr="00715C84" w:rsidRDefault="00715C84" w:rsidP="00E0716D">
      <w:pPr>
        <w:jc w:val="center"/>
        <w:rPr>
          <w:lang w:val="de-DE"/>
        </w:rPr>
      </w:pPr>
      <w:r w:rsidRPr="00715C84">
        <w:rPr>
          <w:u w:val="single"/>
          <w:lang w:val="de-DE"/>
        </w:rPr>
        <w:t>Julia Gallenberge</w:t>
      </w:r>
      <w:r w:rsidR="00325004" w:rsidRPr="00715C84">
        <w:rPr>
          <w:u w:val="single"/>
          <w:lang w:val="de-DE"/>
        </w:rPr>
        <w:t>r</w:t>
      </w:r>
      <w:r w:rsidR="00325004" w:rsidRPr="00715C84">
        <w:rPr>
          <w:lang w:val="de-DE"/>
        </w:rPr>
        <w:t xml:space="preserve">, </w:t>
      </w:r>
      <w:r w:rsidRPr="00715C84">
        <w:rPr>
          <w:lang w:val="de-DE"/>
        </w:rPr>
        <w:t>Soumyadip Mondal</w:t>
      </w:r>
      <w:r w:rsidRPr="00715C84">
        <w:rPr>
          <w:lang w:val="de-DE"/>
        </w:rPr>
        <w:t xml:space="preserve">, </w:t>
      </w:r>
      <w:r w:rsidRPr="00715C84">
        <w:rPr>
          <w:lang w:val="de-DE"/>
        </w:rPr>
        <w:t>Stefan A. Freunberger</w:t>
      </w:r>
    </w:p>
    <w:p w14:paraId="5E5F8989" w14:textId="29F086C5" w:rsidR="00325004" w:rsidRPr="00A86EB9" w:rsidRDefault="00715C84" w:rsidP="00E0716D">
      <w:pPr>
        <w:jc w:val="center"/>
        <w:rPr>
          <w:i/>
        </w:rPr>
      </w:pPr>
      <w:r w:rsidRPr="00715C84">
        <w:rPr>
          <w:i/>
        </w:rPr>
        <w:t>Institute of Science and Technology Austri</w:t>
      </w:r>
      <w:r>
        <w:rPr>
          <w:i/>
        </w:rPr>
        <w:t>a</w:t>
      </w:r>
    </w:p>
    <w:p w14:paraId="122C35E6" w14:textId="6E960681" w:rsidR="00325004" w:rsidRPr="00715C84" w:rsidRDefault="00715C84" w:rsidP="00E0716D">
      <w:pPr>
        <w:jc w:val="center"/>
        <w:rPr>
          <w:lang w:val="de-DE"/>
        </w:rPr>
      </w:pPr>
      <w:r w:rsidRPr="00715C84">
        <w:rPr>
          <w:i/>
          <w:lang w:val="de-DE"/>
        </w:rPr>
        <w:t>Am Campus 1, 3400 Klosterneuburg, Austria</w:t>
      </w:r>
    </w:p>
    <w:p w14:paraId="451C65F6" w14:textId="08BD6BEB" w:rsidR="00685C1A" w:rsidRPr="00715C84" w:rsidRDefault="00715C84" w:rsidP="00E0716D">
      <w:pPr>
        <w:jc w:val="center"/>
        <w:rPr>
          <w:i/>
          <w:lang w:val="de-DE"/>
        </w:rPr>
      </w:pPr>
      <w:r>
        <w:rPr>
          <w:i/>
          <w:lang w:val="de-DE"/>
        </w:rPr>
        <w:t>j</w:t>
      </w:r>
      <w:r w:rsidRPr="00715C84">
        <w:rPr>
          <w:i/>
          <w:lang w:val="de-DE"/>
        </w:rPr>
        <w:t>u</w:t>
      </w:r>
      <w:r>
        <w:rPr>
          <w:i/>
          <w:lang w:val="de-DE"/>
        </w:rPr>
        <w:t>lia.gallenberger@ist.ac.at</w:t>
      </w:r>
    </w:p>
    <w:p w14:paraId="6D806B0D" w14:textId="77777777" w:rsidR="00325004" w:rsidRPr="00715C84" w:rsidRDefault="00325004" w:rsidP="00E0716D">
      <w:pPr>
        <w:jc w:val="center"/>
        <w:rPr>
          <w:lang w:val="de-DE"/>
        </w:rPr>
      </w:pPr>
    </w:p>
    <w:p w14:paraId="6162EA91" w14:textId="77777777" w:rsidR="00715C84" w:rsidRDefault="00715C84" w:rsidP="00715C84">
      <w:pPr>
        <w:jc w:val="both"/>
      </w:pPr>
      <w:r>
        <w:t>More than half a century after the discovery of singlet oxygen forming from superoxide</w:t>
      </w:r>
      <w:r w:rsidRPr="009D003C">
        <w:rPr>
          <w:vertAlign w:val="superscript"/>
        </w:rPr>
        <w:t>1</w:t>
      </w:r>
      <w:r>
        <w:t>, what governs the evolution of singlet or triplet oxygen remains uncertain. Oxygen redox chemistry is central to Life and many human-made technologies such as in energy storage. The large energy gain from oxygen redox reactions is often connected with the occurrence of harmful reactive oxygen species. Key species are superoxide and the highly reactive singlet oxygen, which may evolve from superoxide</w:t>
      </w:r>
      <w:r w:rsidRPr="009D003C">
        <w:rPr>
          <w:vertAlign w:val="superscript"/>
        </w:rPr>
        <w:t>1, 2</w:t>
      </w:r>
      <w:r>
        <w:t xml:space="preserve">. </w:t>
      </w:r>
    </w:p>
    <w:p w14:paraId="2ACD970A" w14:textId="77777777" w:rsidR="00715C84" w:rsidRDefault="00715C84" w:rsidP="00715C84">
      <w:pPr>
        <w:jc w:val="both"/>
      </w:pPr>
    </w:p>
    <w:p w14:paraId="2C2836B9" w14:textId="13242780" w:rsidR="00715C84" w:rsidRDefault="00715C84" w:rsidP="00715C84">
      <w:pPr>
        <w:jc w:val="both"/>
      </w:pPr>
      <w:r>
        <w:t>Superoxide experiences a broad range of oxidizing conditions to liberate oxygen. A very widely occurring type of oxidation is disproportionation in response to superoxide being highly unstable in most environments</w:t>
      </w:r>
      <w:r w:rsidRPr="009D003C">
        <w:rPr>
          <w:vertAlign w:val="superscript"/>
        </w:rPr>
        <w:t>3</w:t>
      </w:r>
      <w:r>
        <w:t>. This reaction occurs in both protic (aqueous) environments</w:t>
      </w:r>
      <w:r w:rsidRPr="00BC754E">
        <w:rPr>
          <w:vertAlign w:val="superscript"/>
        </w:rPr>
        <w:t>1</w:t>
      </w:r>
      <w:r>
        <w:t xml:space="preserve"> and aprotic ones with relatively strong Lewis acids such as Li</w:t>
      </w:r>
      <w:r w:rsidRPr="00715C84">
        <w:rPr>
          <w:vertAlign w:val="superscript"/>
        </w:rPr>
        <w:t>+</w:t>
      </w:r>
      <w:r>
        <w:t xml:space="preserve"> and Na</w:t>
      </w:r>
      <w:r w:rsidRPr="00715C84">
        <w:rPr>
          <w:vertAlign w:val="superscript"/>
        </w:rPr>
        <w:t>+</w:t>
      </w:r>
      <w:r>
        <w:t xml:space="preserve"> </w:t>
      </w:r>
      <w:r w:rsidRPr="009D003C">
        <w:rPr>
          <w:vertAlign w:val="superscript"/>
        </w:rPr>
        <w:t>3, 4</w:t>
      </w:r>
      <w:r>
        <w:t>. During disproportionation (2 O</w:t>
      </w:r>
      <w:r w:rsidRPr="00715C84">
        <w:rPr>
          <w:vertAlign w:val="subscript"/>
        </w:rPr>
        <w:t>2</w:t>
      </w:r>
      <w:r w:rsidRPr="00715C84">
        <w:rPr>
          <w:vertAlign w:val="superscript"/>
        </w:rPr>
        <w:t>–</w:t>
      </w:r>
      <w:r>
        <w:t xml:space="preserve"> </w:t>
      </w:r>
      <w:proofErr w:type="gramStart"/>
      <w:r w:rsidR="009D003C">
        <w:t>→</w:t>
      </w:r>
      <w:r>
        <w:t xml:space="preserve">  O</w:t>
      </w:r>
      <w:proofErr w:type="gramEnd"/>
      <w:r w:rsidRPr="00715C84">
        <w:rPr>
          <w:vertAlign w:val="subscript"/>
        </w:rPr>
        <w:t>2</w:t>
      </w:r>
      <w:r>
        <w:t xml:space="preserve"> + O</w:t>
      </w:r>
      <w:r w:rsidRPr="00715C84">
        <w:rPr>
          <w:vertAlign w:val="subscript"/>
        </w:rPr>
        <w:t>2</w:t>
      </w:r>
      <w:r w:rsidRPr="00715C84">
        <w:rPr>
          <w:vertAlign w:val="superscript"/>
        </w:rPr>
        <w:t>2–</w:t>
      </w:r>
      <w:r>
        <w:t xml:space="preserve">), one superoxide is reduced to peroxide while the other is oxidized to form dioxygen, which may be </w:t>
      </w:r>
      <w:r w:rsidRPr="00715C84">
        <w:rPr>
          <w:vertAlign w:val="superscript"/>
        </w:rPr>
        <w:t>3</w:t>
      </w:r>
      <w:r>
        <w:t>O</w:t>
      </w:r>
      <w:r w:rsidRPr="00715C84">
        <w:rPr>
          <w:vertAlign w:val="subscript"/>
        </w:rPr>
        <w:t>2</w:t>
      </w:r>
      <w:r>
        <w:t xml:space="preserve"> or </w:t>
      </w:r>
      <w:r w:rsidRPr="00715C84">
        <w:rPr>
          <w:vertAlign w:val="superscript"/>
        </w:rPr>
        <w:t>1</w:t>
      </w:r>
      <w:r>
        <w:t>O</w:t>
      </w:r>
      <w:r w:rsidRPr="00715C84">
        <w:rPr>
          <w:vertAlign w:val="subscript"/>
        </w:rPr>
        <w:t>2</w:t>
      </w:r>
      <w:r w:rsidR="009D003C">
        <w:t> </w:t>
      </w:r>
      <w:r w:rsidRPr="009D003C">
        <w:rPr>
          <w:vertAlign w:val="superscript"/>
        </w:rPr>
        <w:t>5</w:t>
      </w:r>
      <w:r>
        <w:t>. Examples include cellular respiration</w:t>
      </w:r>
      <w:r w:rsidRPr="00BC754E">
        <w:rPr>
          <w:vertAlign w:val="superscript"/>
        </w:rPr>
        <w:t>6</w:t>
      </w:r>
      <w:r>
        <w:t xml:space="preserve"> and batteries</w:t>
      </w:r>
      <w:r w:rsidRPr="009D003C">
        <w:rPr>
          <w:vertAlign w:val="superscript"/>
        </w:rPr>
        <w:t>4,</w:t>
      </w:r>
      <w:r w:rsidR="001249FD">
        <w:rPr>
          <w:vertAlign w:val="superscript"/>
        </w:rPr>
        <w:t xml:space="preserve"> </w:t>
      </w:r>
      <w:r w:rsidRPr="009D003C">
        <w:rPr>
          <w:vertAlign w:val="superscript"/>
        </w:rPr>
        <w:t>5,</w:t>
      </w:r>
      <w:r w:rsidR="001249FD">
        <w:rPr>
          <w:vertAlign w:val="superscript"/>
        </w:rPr>
        <w:t xml:space="preserve"> </w:t>
      </w:r>
      <w:r w:rsidRPr="009D003C">
        <w:rPr>
          <w:vertAlign w:val="superscript"/>
        </w:rPr>
        <w:t>7-9</w:t>
      </w:r>
      <w:r>
        <w:t xml:space="preserve">. Relative </w:t>
      </w:r>
      <w:r w:rsidRPr="00715C84">
        <w:rPr>
          <w:vertAlign w:val="superscript"/>
        </w:rPr>
        <w:t>3</w:t>
      </w:r>
      <w:r>
        <w:t>O</w:t>
      </w:r>
      <w:r w:rsidRPr="00715C84">
        <w:rPr>
          <w:vertAlign w:val="subscript"/>
        </w:rPr>
        <w:t>2</w:t>
      </w:r>
      <w:r>
        <w:t xml:space="preserve"> and </w:t>
      </w:r>
      <w:r w:rsidRPr="00715C84">
        <w:rPr>
          <w:vertAlign w:val="superscript"/>
        </w:rPr>
        <w:t>1</w:t>
      </w:r>
      <w:r>
        <w:t>O</w:t>
      </w:r>
      <w:r w:rsidRPr="00715C84">
        <w:rPr>
          <w:vertAlign w:val="subscript"/>
        </w:rPr>
        <w:t>2</w:t>
      </w:r>
      <w:r>
        <w:t xml:space="preserve"> yields and kinetics of superoxide disproportionation, and superoxide oxidation more generally, are therefore fundamental to these systems. However, it is still unclear what controls the extent to which </w:t>
      </w:r>
      <w:r w:rsidRPr="00715C84">
        <w:rPr>
          <w:vertAlign w:val="superscript"/>
        </w:rPr>
        <w:t>1</w:t>
      </w:r>
      <w:r>
        <w:t>O</w:t>
      </w:r>
      <w:r w:rsidRPr="00BC754E">
        <w:rPr>
          <w:vertAlign w:val="subscript"/>
        </w:rPr>
        <w:t>2</w:t>
      </w:r>
      <w:r>
        <w:t xml:space="preserve"> or </w:t>
      </w:r>
      <w:r w:rsidRPr="00715C84">
        <w:rPr>
          <w:vertAlign w:val="superscript"/>
        </w:rPr>
        <w:t>3</w:t>
      </w:r>
      <w:r>
        <w:t>O</w:t>
      </w:r>
      <w:r w:rsidRPr="00715C84">
        <w:rPr>
          <w:vertAlign w:val="subscript"/>
        </w:rPr>
        <w:t>2</w:t>
      </w:r>
      <w:r>
        <w:t xml:space="preserve"> evolves during the oxidation of superoxide to dioxygen.</w:t>
      </w:r>
    </w:p>
    <w:p w14:paraId="1DC813C0" w14:textId="77777777" w:rsidR="00715C84" w:rsidRDefault="00715C84" w:rsidP="00715C84">
      <w:pPr>
        <w:jc w:val="both"/>
      </w:pPr>
    </w:p>
    <w:p w14:paraId="799B11A8" w14:textId="77777777" w:rsidR="00715C84" w:rsidRDefault="00715C84" w:rsidP="00715C84">
      <w:pPr>
        <w:jc w:val="both"/>
      </w:pPr>
      <w:r>
        <w:t xml:space="preserve">We found the driving force for superoxide oxidation to </w:t>
      </w:r>
      <w:r w:rsidRPr="00715C84">
        <w:rPr>
          <w:vertAlign w:val="superscript"/>
        </w:rPr>
        <w:t>3</w:t>
      </w:r>
      <w:r>
        <w:t>O</w:t>
      </w:r>
      <w:r w:rsidRPr="00715C84">
        <w:rPr>
          <w:vertAlign w:val="subscript"/>
        </w:rPr>
        <w:t>2</w:t>
      </w:r>
      <w:r>
        <w:t xml:space="preserve"> and </w:t>
      </w:r>
      <w:r w:rsidRPr="00715C84">
        <w:rPr>
          <w:vertAlign w:val="superscript"/>
        </w:rPr>
        <w:t>1</w:t>
      </w:r>
      <w:r>
        <w:t>O</w:t>
      </w:r>
      <w:r w:rsidRPr="00715C84">
        <w:rPr>
          <w:vertAlign w:val="subscript"/>
        </w:rPr>
        <w:t>2</w:t>
      </w:r>
      <w:r>
        <w:t xml:space="preserve"> oxygen to be the common descriptor determining the spin state</w:t>
      </w:r>
      <w:r w:rsidRPr="009D003C">
        <w:rPr>
          <w:vertAlign w:val="superscript"/>
        </w:rPr>
        <w:t>10</w:t>
      </w:r>
      <w:r>
        <w:t xml:space="preserve">. This follows individual Marcus normal and inverted region </w:t>
      </w:r>
      <w:proofErr w:type="spellStart"/>
      <w:r>
        <w:t>behaviour</w:t>
      </w:r>
      <w:proofErr w:type="spellEnd"/>
      <w:r>
        <w:t xml:space="preserve">. </w:t>
      </w:r>
      <w:r w:rsidRPr="00715C84">
        <w:rPr>
          <w:vertAlign w:val="superscript"/>
        </w:rPr>
        <w:t>1</w:t>
      </w:r>
      <w:r>
        <w:t>O</w:t>
      </w:r>
      <w:r w:rsidRPr="00715C84">
        <w:rPr>
          <w:vertAlign w:val="subscript"/>
        </w:rPr>
        <w:t>2</w:t>
      </w:r>
      <w:r>
        <w:t xml:space="preserve"> can only become significant since the kinetics for </w:t>
      </w:r>
      <w:r w:rsidRPr="00715C84">
        <w:rPr>
          <w:vertAlign w:val="superscript"/>
        </w:rPr>
        <w:t>3</w:t>
      </w:r>
      <w:r>
        <w:t>O</w:t>
      </w:r>
      <w:r w:rsidRPr="00715C84">
        <w:rPr>
          <w:vertAlign w:val="subscript"/>
        </w:rPr>
        <w:t>2</w:t>
      </w:r>
      <w:r>
        <w:t xml:space="preserve"> evolution slows down in its inverted region. The results help clarify previously inconclusive findings about </w:t>
      </w:r>
      <w:r w:rsidRPr="00715C84">
        <w:rPr>
          <w:vertAlign w:val="superscript"/>
        </w:rPr>
        <w:t>1</w:t>
      </w:r>
      <w:r>
        <w:t>O</w:t>
      </w:r>
      <w:r w:rsidRPr="00715C84">
        <w:rPr>
          <w:vertAlign w:val="subscript"/>
        </w:rPr>
        <w:t>2</w:t>
      </w:r>
      <w:r>
        <w:t xml:space="preserve"> formation from superoxide, including through interaction with chemical oxidants, and proton and </w:t>
      </w:r>
      <w:proofErr w:type="gramStart"/>
      <w:r>
        <w:t>Lewis</w:t>
      </w:r>
      <w:proofErr w:type="gramEnd"/>
      <w:r>
        <w:t xml:space="preserve"> acid-driven disproportionation. Recognizing what controls </w:t>
      </w:r>
      <w:r w:rsidRPr="00715C84">
        <w:rPr>
          <w:vertAlign w:val="superscript"/>
        </w:rPr>
        <w:t>3</w:t>
      </w:r>
      <w:r>
        <w:t>O</w:t>
      </w:r>
      <w:r w:rsidRPr="00715C84">
        <w:rPr>
          <w:vertAlign w:val="subscript"/>
        </w:rPr>
        <w:t>2</w:t>
      </w:r>
      <w:r>
        <w:t xml:space="preserve"> and </w:t>
      </w:r>
      <w:r w:rsidRPr="00715C84">
        <w:rPr>
          <w:vertAlign w:val="superscript"/>
        </w:rPr>
        <w:t>1</w:t>
      </w:r>
      <w:r>
        <w:t>O</w:t>
      </w:r>
      <w:r w:rsidRPr="00715C84">
        <w:rPr>
          <w:vertAlign w:val="subscript"/>
        </w:rPr>
        <w:t>2</w:t>
      </w:r>
      <w:r>
        <w:t xml:space="preserve"> formation from superoxide should enable strategies to suppress </w:t>
      </w:r>
      <w:r w:rsidRPr="00715C84">
        <w:rPr>
          <w:vertAlign w:val="superscript"/>
        </w:rPr>
        <w:t>1</w:t>
      </w:r>
      <w:r>
        <w:t>O</w:t>
      </w:r>
      <w:r w:rsidRPr="00715C84">
        <w:rPr>
          <w:vertAlign w:val="subscript"/>
        </w:rPr>
        <w:t>2</w:t>
      </w:r>
      <w:r>
        <w:t xml:space="preserve"> in human-made redox systems, where </w:t>
      </w:r>
      <w:r w:rsidRPr="00715C84">
        <w:rPr>
          <w:vertAlign w:val="superscript"/>
        </w:rPr>
        <w:t>1</w:t>
      </w:r>
      <w:r>
        <w:t>O</w:t>
      </w:r>
      <w:r w:rsidRPr="00715C84">
        <w:rPr>
          <w:vertAlign w:val="subscript"/>
        </w:rPr>
        <w:t>2</w:t>
      </w:r>
      <w:r>
        <w:t xml:space="preserve"> is, in most cases, harmful. The results expand knowledge on the </w:t>
      </w:r>
      <w:proofErr w:type="spellStart"/>
      <w:r>
        <w:t>electrogeneration</w:t>
      </w:r>
      <w:proofErr w:type="spellEnd"/>
      <w:r>
        <w:t xml:space="preserve"> of excited species more generally</w:t>
      </w:r>
      <w:r w:rsidRPr="009D003C">
        <w:rPr>
          <w:vertAlign w:val="superscript"/>
        </w:rPr>
        <w:t>11</w:t>
      </w:r>
      <w:r>
        <w:t xml:space="preserve"> and pose new open questions, such as the origin of differing maximum kinetics for the ground and excited states. The findings provide insights into understanding and controlling spin states and kinetics in oxygen redox chemistry, with implications for fields including life sciences and energy storage.</w:t>
      </w:r>
    </w:p>
    <w:p w14:paraId="4828FEF5" w14:textId="77777777" w:rsidR="00715C84" w:rsidRDefault="00715C84" w:rsidP="00715C84">
      <w:pPr>
        <w:jc w:val="both"/>
      </w:pPr>
    </w:p>
    <w:p w14:paraId="1FAA7D9A" w14:textId="205D2779" w:rsidR="00715C84" w:rsidRDefault="00715C84" w:rsidP="009D003C">
      <w:pPr>
        <w:tabs>
          <w:tab w:val="left" w:pos="270"/>
        </w:tabs>
        <w:jc w:val="both"/>
      </w:pPr>
      <w:r>
        <w:t>1</w:t>
      </w:r>
      <w:bookmarkStart w:id="0" w:name="_Hlk230680484"/>
      <w:r w:rsidR="009D003C">
        <w:tab/>
      </w:r>
      <w:bookmarkEnd w:id="0"/>
      <w:r>
        <w:t>A. U. Khan, Science, 1970, 168, 476.</w:t>
      </w:r>
    </w:p>
    <w:p w14:paraId="6AA1300B" w14:textId="7C3C4FEA" w:rsidR="00715C84" w:rsidRDefault="00715C84" w:rsidP="009D003C">
      <w:pPr>
        <w:tabs>
          <w:tab w:val="left" w:pos="270"/>
        </w:tabs>
        <w:ind w:left="270" w:hanging="270"/>
        <w:jc w:val="both"/>
      </w:pPr>
      <w:r>
        <w:t>2</w:t>
      </w:r>
      <w:r w:rsidR="009D003C">
        <w:tab/>
      </w:r>
      <w:r>
        <w:t xml:space="preserve">E. Mourad, Y. K. Petit, R. Spezia, A. </w:t>
      </w:r>
      <w:proofErr w:type="spellStart"/>
      <w:r>
        <w:t>Samojlov</w:t>
      </w:r>
      <w:proofErr w:type="spellEnd"/>
      <w:r>
        <w:t xml:space="preserve">, F. F. Summa, C. </w:t>
      </w:r>
      <w:proofErr w:type="spellStart"/>
      <w:r>
        <w:t>Prehal</w:t>
      </w:r>
      <w:proofErr w:type="spellEnd"/>
      <w:r>
        <w:t xml:space="preserve">, C. </w:t>
      </w:r>
      <w:proofErr w:type="spellStart"/>
      <w:r>
        <w:t>Leypold</w:t>
      </w:r>
      <w:proofErr w:type="spellEnd"/>
      <w:r>
        <w:t xml:space="preserve">, N. </w:t>
      </w:r>
      <w:proofErr w:type="spellStart"/>
      <w:r>
        <w:t>Mahne</w:t>
      </w:r>
      <w:proofErr w:type="spellEnd"/>
      <w:r>
        <w:t xml:space="preserve">, C. </w:t>
      </w:r>
      <w:proofErr w:type="spellStart"/>
      <w:r>
        <w:t>Slugovc</w:t>
      </w:r>
      <w:proofErr w:type="spellEnd"/>
      <w:r>
        <w:t xml:space="preserve">, O. Fontaine, S. </w:t>
      </w:r>
      <w:proofErr w:type="spellStart"/>
      <w:r>
        <w:t>Brutti</w:t>
      </w:r>
      <w:proofErr w:type="spellEnd"/>
      <w:r>
        <w:t xml:space="preserve"> and S. A. Freunberger, Energy &amp; Environmental Science, 2019, 12, 2559.</w:t>
      </w:r>
    </w:p>
    <w:p w14:paraId="44BD118E" w14:textId="3F2F8874" w:rsidR="00715C84" w:rsidRDefault="00715C84" w:rsidP="009D003C">
      <w:pPr>
        <w:tabs>
          <w:tab w:val="left" w:pos="270"/>
        </w:tabs>
        <w:ind w:left="270" w:hanging="270"/>
        <w:jc w:val="both"/>
      </w:pPr>
      <w:r>
        <w:t>3</w:t>
      </w:r>
      <w:r w:rsidR="009D003C">
        <w:tab/>
      </w:r>
      <w:r>
        <w:t xml:space="preserve">N. Lopez, D. J. Graham, R. McGuire, G. E. </w:t>
      </w:r>
      <w:proofErr w:type="spellStart"/>
      <w:r>
        <w:t>Alliger</w:t>
      </w:r>
      <w:proofErr w:type="spellEnd"/>
      <w:r>
        <w:t>, Y. Shao-Horn, C. C. Cummins and D. G. Nocera, Science, 2012, 335, 450.</w:t>
      </w:r>
    </w:p>
    <w:p w14:paraId="24573C38" w14:textId="7E1428D7" w:rsidR="00715C84" w:rsidRDefault="00715C84" w:rsidP="009D003C">
      <w:pPr>
        <w:tabs>
          <w:tab w:val="left" w:pos="270"/>
        </w:tabs>
        <w:ind w:left="270" w:hanging="270"/>
        <w:jc w:val="both"/>
      </w:pPr>
      <w:r>
        <w:t>4</w:t>
      </w:r>
      <w:r w:rsidR="009D003C">
        <w:tab/>
      </w:r>
      <w:r>
        <w:t xml:space="preserve">E. Mourad, Y. K. Petit, R. Spezia, A. </w:t>
      </w:r>
      <w:proofErr w:type="spellStart"/>
      <w:r>
        <w:t>Samojlov</w:t>
      </w:r>
      <w:proofErr w:type="spellEnd"/>
      <w:r>
        <w:t xml:space="preserve">, F. F. Summa, C. </w:t>
      </w:r>
      <w:proofErr w:type="spellStart"/>
      <w:r>
        <w:t>Prehal</w:t>
      </w:r>
      <w:proofErr w:type="spellEnd"/>
      <w:r>
        <w:t xml:space="preserve">, C. </w:t>
      </w:r>
      <w:proofErr w:type="spellStart"/>
      <w:r>
        <w:t>Leypold</w:t>
      </w:r>
      <w:proofErr w:type="spellEnd"/>
      <w:r>
        <w:t xml:space="preserve">, N. </w:t>
      </w:r>
      <w:proofErr w:type="spellStart"/>
      <w:r>
        <w:t>Mahne</w:t>
      </w:r>
      <w:proofErr w:type="spellEnd"/>
      <w:r>
        <w:t xml:space="preserve">, C. </w:t>
      </w:r>
      <w:proofErr w:type="spellStart"/>
      <w:r>
        <w:t>Slugovc</w:t>
      </w:r>
      <w:proofErr w:type="spellEnd"/>
      <w:r>
        <w:t xml:space="preserve">, O. Fontaine, S. </w:t>
      </w:r>
      <w:proofErr w:type="spellStart"/>
      <w:r>
        <w:t>Brutti</w:t>
      </w:r>
      <w:proofErr w:type="spellEnd"/>
      <w:r>
        <w:t xml:space="preserve"> and S. A. Freunberger, Energy Environ. Sci., 2019, 12, 2559.</w:t>
      </w:r>
    </w:p>
    <w:p w14:paraId="41ADFCB2" w14:textId="12F4BE03" w:rsidR="00715C84" w:rsidRDefault="00715C84" w:rsidP="009D003C">
      <w:pPr>
        <w:tabs>
          <w:tab w:val="left" w:pos="270"/>
        </w:tabs>
        <w:jc w:val="both"/>
      </w:pPr>
      <w:r>
        <w:t>5</w:t>
      </w:r>
      <w:r w:rsidR="009D003C">
        <w:tab/>
      </w:r>
      <w:r>
        <w:t xml:space="preserve">A. </w:t>
      </w:r>
      <w:proofErr w:type="spellStart"/>
      <w:r>
        <w:t>Pierini</w:t>
      </w:r>
      <w:proofErr w:type="spellEnd"/>
      <w:r>
        <w:t xml:space="preserve">, S. </w:t>
      </w:r>
      <w:proofErr w:type="spellStart"/>
      <w:r>
        <w:t>Brutti</w:t>
      </w:r>
      <w:proofErr w:type="spellEnd"/>
      <w:r>
        <w:t xml:space="preserve"> and E. Bodo, </w:t>
      </w:r>
      <w:proofErr w:type="spellStart"/>
      <w:r>
        <w:t>ChemPhysChem</w:t>
      </w:r>
      <w:proofErr w:type="spellEnd"/>
      <w:r>
        <w:t>, 2020, 21, 2060.</w:t>
      </w:r>
    </w:p>
    <w:p w14:paraId="4AC41606" w14:textId="257C208A" w:rsidR="00715C84" w:rsidRDefault="00715C84" w:rsidP="009D003C">
      <w:pPr>
        <w:tabs>
          <w:tab w:val="left" w:pos="270"/>
        </w:tabs>
        <w:jc w:val="both"/>
      </w:pPr>
      <w:r>
        <w:t>6</w:t>
      </w:r>
      <w:r w:rsidR="009D003C">
        <w:tab/>
      </w:r>
      <w:r>
        <w:t>H. Sies, R. J. Mailloux and U. Jakob, Nat. Rev. Mol. Cell. Biol., 2024, 25, 701.</w:t>
      </w:r>
    </w:p>
    <w:p w14:paraId="5F8DCA75" w14:textId="64FAC5DC" w:rsidR="00715C84" w:rsidRDefault="00715C84" w:rsidP="009D003C">
      <w:pPr>
        <w:tabs>
          <w:tab w:val="left" w:pos="270"/>
        </w:tabs>
        <w:ind w:left="270" w:hanging="270"/>
        <w:jc w:val="both"/>
      </w:pPr>
      <w:r>
        <w:t>7</w:t>
      </w:r>
      <w:r w:rsidR="009D003C">
        <w:tab/>
      </w:r>
      <w:r>
        <w:t xml:space="preserve">Y. K. Petit, E. Mourad, C. </w:t>
      </w:r>
      <w:proofErr w:type="spellStart"/>
      <w:r>
        <w:t>Prehal</w:t>
      </w:r>
      <w:proofErr w:type="spellEnd"/>
      <w:r>
        <w:t xml:space="preserve">, C. </w:t>
      </w:r>
      <w:proofErr w:type="spellStart"/>
      <w:r>
        <w:t>Leypold</w:t>
      </w:r>
      <w:proofErr w:type="spellEnd"/>
      <w:r>
        <w:t xml:space="preserve">, A. </w:t>
      </w:r>
      <w:proofErr w:type="spellStart"/>
      <w:r>
        <w:t>Windischbacher</w:t>
      </w:r>
      <w:proofErr w:type="spellEnd"/>
      <w:r>
        <w:t xml:space="preserve">, D. </w:t>
      </w:r>
      <w:proofErr w:type="spellStart"/>
      <w:r>
        <w:t>Mijailovic</w:t>
      </w:r>
      <w:proofErr w:type="spellEnd"/>
      <w:r>
        <w:t xml:space="preserve">, C. </w:t>
      </w:r>
      <w:proofErr w:type="spellStart"/>
      <w:r>
        <w:t>Slugovc</w:t>
      </w:r>
      <w:proofErr w:type="spellEnd"/>
      <w:r>
        <w:t xml:space="preserve">, S. M. Borisov, E. </w:t>
      </w:r>
      <w:proofErr w:type="spellStart"/>
      <w:r>
        <w:t>Zojer</w:t>
      </w:r>
      <w:proofErr w:type="spellEnd"/>
      <w:r>
        <w:t xml:space="preserve">, S. </w:t>
      </w:r>
      <w:proofErr w:type="spellStart"/>
      <w:r>
        <w:t>Brutti</w:t>
      </w:r>
      <w:proofErr w:type="spellEnd"/>
      <w:r>
        <w:t>, O. Fontaine and S. A. Freunberger, Nat. Chem., 2021, 13, 465.</w:t>
      </w:r>
    </w:p>
    <w:p w14:paraId="5D9CC205" w14:textId="030EC142" w:rsidR="00715C84" w:rsidRDefault="00715C84" w:rsidP="009D003C">
      <w:pPr>
        <w:tabs>
          <w:tab w:val="left" w:pos="270"/>
        </w:tabs>
        <w:ind w:left="270" w:hanging="270"/>
        <w:jc w:val="both"/>
      </w:pPr>
      <w:r>
        <w:t>8</w:t>
      </w:r>
      <w:r w:rsidR="009D003C">
        <w:tab/>
      </w:r>
      <w:r>
        <w:t xml:space="preserve">Y. K. Petit, E. Mourad, C. </w:t>
      </w:r>
      <w:proofErr w:type="spellStart"/>
      <w:r>
        <w:t>Prehal</w:t>
      </w:r>
      <w:proofErr w:type="spellEnd"/>
      <w:r>
        <w:t xml:space="preserve">, C. </w:t>
      </w:r>
      <w:proofErr w:type="spellStart"/>
      <w:r>
        <w:t>Leypold</w:t>
      </w:r>
      <w:proofErr w:type="spellEnd"/>
      <w:r>
        <w:t xml:space="preserve">, A. </w:t>
      </w:r>
      <w:proofErr w:type="spellStart"/>
      <w:r>
        <w:t>Windischbacher</w:t>
      </w:r>
      <w:proofErr w:type="spellEnd"/>
      <w:r>
        <w:t xml:space="preserve">, D. </w:t>
      </w:r>
      <w:proofErr w:type="spellStart"/>
      <w:r>
        <w:t>Mijailovic</w:t>
      </w:r>
      <w:proofErr w:type="spellEnd"/>
      <w:r>
        <w:t xml:space="preserve">, C. </w:t>
      </w:r>
      <w:proofErr w:type="spellStart"/>
      <w:r>
        <w:t>Slugovc</w:t>
      </w:r>
      <w:proofErr w:type="spellEnd"/>
      <w:r>
        <w:t xml:space="preserve">, S. M. Borisov, E. </w:t>
      </w:r>
      <w:proofErr w:type="spellStart"/>
      <w:r>
        <w:t>Zojer</w:t>
      </w:r>
      <w:proofErr w:type="spellEnd"/>
      <w:r>
        <w:t xml:space="preserve">, S. </w:t>
      </w:r>
      <w:proofErr w:type="spellStart"/>
      <w:r>
        <w:t>Brutti</w:t>
      </w:r>
      <w:proofErr w:type="spellEnd"/>
      <w:r>
        <w:t>, O. Fontaine and S. A. Freunberger, Nature Chemistry, 2021, 13, 465.</w:t>
      </w:r>
    </w:p>
    <w:p w14:paraId="61CC19A6" w14:textId="24ADF9D3" w:rsidR="00715C84" w:rsidRPr="009D003C" w:rsidRDefault="00715C84" w:rsidP="009D003C">
      <w:pPr>
        <w:tabs>
          <w:tab w:val="left" w:pos="270"/>
        </w:tabs>
        <w:ind w:left="270" w:hanging="270"/>
        <w:jc w:val="both"/>
        <w:rPr>
          <w:lang w:val="de-DE"/>
        </w:rPr>
      </w:pPr>
      <w:r>
        <w:t>9</w:t>
      </w:r>
      <w:r w:rsidR="009D003C">
        <w:tab/>
      </w:r>
      <w:r>
        <w:t xml:space="preserve">P. P. </w:t>
      </w:r>
      <w:proofErr w:type="spellStart"/>
      <w:r>
        <w:t>Bawol</w:t>
      </w:r>
      <w:proofErr w:type="spellEnd"/>
      <w:r>
        <w:t xml:space="preserve">, P. </w:t>
      </w:r>
      <w:proofErr w:type="spellStart"/>
      <w:r>
        <w:t>Reinsberg</w:t>
      </w:r>
      <w:proofErr w:type="spellEnd"/>
      <w:r>
        <w:t xml:space="preserve">, C. J. </w:t>
      </w:r>
      <w:proofErr w:type="spellStart"/>
      <w:r>
        <w:t>Bondue</w:t>
      </w:r>
      <w:proofErr w:type="spellEnd"/>
      <w:r>
        <w:t xml:space="preserve">, A. A. Abd-El-Latif, P. </w:t>
      </w:r>
      <w:proofErr w:type="spellStart"/>
      <w:r>
        <w:t>Königshoven</w:t>
      </w:r>
      <w:proofErr w:type="spellEnd"/>
      <w:r>
        <w:t xml:space="preserve"> and H. </w:t>
      </w:r>
      <w:proofErr w:type="spellStart"/>
      <w:r>
        <w:t>Baltruschat</w:t>
      </w:r>
      <w:proofErr w:type="spellEnd"/>
      <w:r>
        <w:t xml:space="preserve">, Phys. Chem. </w:t>
      </w:r>
      <w:r w:rsidRPr="009D003C">
        <w:rPr>
          <w:lang w:val="de-DE"/>
        </w:rPr>
        <w:t>Chem. Phys., 2018, 20, 21447.</w:t>
      </w:r>
    </w:p>
    <w:p w14:paraId="6E00DB5B" w14:textId="40E03EBD" w:rsidR="00715C84" w:rsidRPr="00715C84" w:rsidRDefault="00715C84" w:rsidP="009D003C">
      <w:pPr>
        <w:tabs>
          <w:tab w:val="left" w:pos="270"/>
        </w:tabs>
        <w:jc w:val="both"/>
        <w:rPr>
          <w:lang w:val="de-DE"/>
        </w:rPr>
      </w:pPr>
      <w:r w:rsidRPr="00715C84">
        <w:rPr>
          <w:lang w:val="de-DE"/>
        </w:rPr>
        <w:t>10</w:t>
      </w:r>
      <w:r w:rsidR="009D003C">
        <w:rPr>
          <w:lang w:val="de-DE"/>
        </w:rPr>
        <w:tab/>
      </w:r>
      <w:r w:rsidRPr="00715C84">
        <w:rPr>
          <w:lang w:val="de-DE"/>
        </w:rPr>
        <w:t xml:space="preserve">S. Mondal, H. T. K. Nguyen, R. Hauschild and Stefan A. Freunberger, </w:t>
      </w:r>
      <w:r w:rsidR="009D003C">
        <w:rPr>
          <w:lang w:val="de-DE"/>
        </w:rPr>
        <w:t>Nature</w:t>
      </w:r>
      <w:r w:rsidRPr="00715C84">
        <w:rPr>
          <w:lang w:val="de-DE"/>
        </w:rPr>
        <w:t>, 202</w:t>
      </w:r>
      <w:r w:rsidR="009D003C">
        <w:rPr>
          <w:lang w:val="de-DE"/>
        </w:rPr>
        <w:t>5</w:t>
      </w:r>
      <w:r w:rsidRPr="00715C84">
        <w:rPr>
          <w:lang w:val="de-DE"/>
        </w:rPr>
        <w:t xml:space="preserve">, </w:t>
      </w:r>
      <w:r w:rsidR="009D003C">
        <w:rPr>
          <w:lang w:val="de-DE"/>
        </w:rPr>
        <w:t>646, 601-605</w:t>
      </w:r>
      <w:r w:rsidRPr="00715C84">
        <w:rPr>
          <w:lang w:val="de-DE"/>
        </w:rPr>
        <w:t>.</w:t>
      </w:r>
    </w:p>
    <w:p w14:paraId="51B1D107" w14:textId="42A5D0A0" w:rsidR="00E0716D" w:rsidRDefault="00715C84" w:rsidP="009D003C">
      <w:pPr>
        <w:tabs>
          <w:tab w:val="left" w:pos="270"/>
        </w:tabs>
        <w:ind w:left="270" w:hanging="270"/>
        <w:jc w:val="both"/>
      </w:pPr>
      <w:r>
        <w:t>11</w:t>
      </w:r>
      <w:r w:rsidR="009D003C">
        <w:tab/>
      </w:r>
      <w:r>
        <w:t xml:space="preserve">A. J. Bard, L. R. Faulkner and H. S. White, Electrochemical Methods: Fundamentals and Applications, John Wiley &amp; Sons, New York, USA, 3rd </w:t>
      </w:r>
      <w:proofErr w:type="spellStart"/>
      <w:r>
        <w:t>edn</w:t>
      </w:r>
      <w:proofErr w:type="spellEnd"/>
      <w:r>
        <w:t>., 2022.</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1249FD"/>
    <w:rsid w:val="00325004"/>
    <w:rsid w:val="00536366"/>
    <w:rsid w:val="00685C1A"/>
    <w:rsid w:val="00715C84"/>
    <w:rsid w:val="009A0A79"/>
    <w:rsid w:val="009D003C"/>
    <w:rsid w:val="00A56F57"/>
    <w:rsid w:val="00BC754E"/>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44309B"/>
  <w14:defaultImageDpi w14:val="300"/>
  <w15:docId w15:val="{25C0083A-06AF-4C83-920A-C11AD411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685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662</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Julia Gallenberger</cp:lastModifiedBy>
  <cp:revision>4</cp:revision>
  <cp:lastPrinted>2013-10-21T12:07:00Z</cp:lastPrinted>
  <dcterms:created xsi:type="dcterms:W3CDTF">2026-05-26T08:09:00Z</dcterms:created>
  <dcterms:modified xsi:type="dcterms:W3CDTF">2026-05-26T09:20:00Z</dcterms:modified>
</cp:coreProperties>
</file>