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bCs/>
          <w:sz w:val="28"/>
          <w:szCs w:val="28"/>
          <w:u w:val="none"/>
        </w:rPr>
      </w:pPr>
      <w:r>
        <w:rPr>
          <w:b/>
          <w:bCs/>
          <w:sz w:val="28"/>
          <w:szCs w:val="28"/>
          <w:u w:val="none"/>
        </w:rPr>
        <w:t>Operando Studies of Catalyst Degradation in Fuel Cells and Electrolysers</w:t>
      </w:r>
    </w:p>
    <w:p>
      <w:pPr>
        <w:pStyle w:val="Normal"/>
        <w:jc w:val="center"/>
        <w:rPr>
          <w:b/>
          <w:sz w:val="28"/>
        </w:rPr>
      </w:pPr>
      <w:r>
        <w:rPr>
          <w:b/>
          <w:sz w:val="28"/>
        </w:rPr>
      </w:r>
    </w:p>
    <w:p>
      <w:pPr>
        <w:pStyle w:val="Normal"/>
        <w:jc w:val="center"/>
        <w:rPr>
          <w:b/>
          <w:sz w:val="28"/>
        </w:rPr>
      </w:pPr>
      <w:r>
        <w:rPr>
          <w:b/>
          <w:sz w:val="28"/>
        </w:rPr>
      </w:r>
    </w:p>
    <w:p>
      <w:pPr>
        <w:pStyle w:val="Normal"/>
        <w:bidi w:val="0"/>
        <w:jc w:val="center"/>
        <w:rPr/>
      </w:pPr>
      <w:r>
        <w:rPr>
          <w:u w:val="single"/>
        </w:rPr>
        <w:t>Yakovlev Y.V.</w:t>
      </w:r>
      <w:r>
        <w:rPr>
          <w:u w:val="single"/>
          <w:vertAlign w:val="superscript"/>
        </w:rPr>
        <w:t>1</w:t>
      </w:r>
      <w:r>
        <w:rPr/>
        <w:t>, Bogar M.</w:t>
      </w:r>
      <w:r>
        <w:rPr>
          <w:vertAlign w:val="superscript"/>
        </w:rPr>
        <w:t>2</w:t>
      </w:r>
      <w:r>
        <w:rPr/>
        <w:t>, Pollastri S.</w:t>
      </w:r>
      <w:r>
        <w:rPr>
          <w:vertAlign w:val="superscript"/>
        </w:rPr>
        <w:t>3</w:t>
      </w:r>
      <w:r>
        <w:rPr/>
        <w:t>, Lobko Y.V.</w:t>
      </w:r>
      <w:r>
        <w:rPr>
          <w:vertAlign w:val="superscript"/>
        </w:rPr>
        <w:t>1</w:t>
      </w:r>
      <w:r>
        <w:rPr/>
        <w:t>, Kalabis D.</w:t>
      </w:r>
      <w:r>
        <w:rPr>
          <w:vertAlign w:val="superscript"/>
        </w:rPr>
        <w:t>1</w:t>
      </w:r>
      <w:r>
        <w:rPr/>
        <w:t>, Amenitsch H.</w:t>
      </w:r>
      <w:r>
        <w:rPr>
          <w:vertAlign w:val="superscript"/>
        </w:rPr>
        <w:t>4</w:t>
      </w:r>
      <w:r>
        <w:rPr/>
        <w:t>, Matolinova I.</w:t>
      </w:r>
      <w:r>
        <w:rPr>
          <w:vertAlign w:val="superscript"/>
        </w:rPr>
        <w:t>1</w:t>
      </w:r>
    </w:p>
    <w:p>
      <w:pPr>
        <w:pStyle w:val="Normal"/>
        <w:jc w:val="center"/>
        <w:rPr>
          <w:i/>
        </w:rPr>
      </w:pPr>
      <w:r>
        <w:rPr>
          <w:i/>
          <w:vertAlign w:val="superscript"/>
        </w:rPr>
        <w:t>1</w:t>
      </w:r>
      <w:r>
        <w:rPr>
          <w:i/>
        </w:rPr>
        <w:t>Department of Surface and Plasma Science, Faculty of Mathematics and Physics, Charles University, V Holešovičkách 2, Prague 8, 180 00, Czech Republic.</w:t>
      </w:r>
    </w:p>
    <w:p>
      <w:pPr>
        <w:pStyle w:val="Normal"/>
        <w:jc w:val="center"/>
        <w:rPr>
          <w:i/>
        </w:rPr>
      </w:pPr>
      <w:r>
        <w:rPr>
          <w:i/>
          <w:vertAlign w:val="superscript"/>
        </w:rPr>
        <w:t>2</w:t>
      </w:r>
      <w:r>
        <w:rPr>
          <w:i/>
        </w:rPr>
        <w:t>Department of Engineering and Architecture, University of Trieste, Via Alfonso Valerio 6/1, Trieste, 34127, Italy.</w:t>
      </w:r>
    </w:p>
    <w:p>
      <w:pPr>
        <w:pStyle w:val="Normal"/>
        <w:jc w:val="center"/>
        <w:rPr>
          <w:i/>
        </w:rPr>
      </w:pPr>
      <w:r>
        <w:rPr>
          <w:i/>
          <w:vertAlign w:val="superscript"/>
        </w:rPr>
        <w:t>3</w:t>
      </w:r>
      <w:r>
        <w:rPr>
          <w:i/>
        </w:rPr>
        <w:t>Department of Physics, Computer Science and Mathematics, University of Modena and Reggio Emilia, Modena, 41125, Italy.</w:t>
      </w:r>
    </w:p>
    <w:p>
      <w:pPr>
        <w:pStyle w:val="Normal"/>
        <w:jc w:val="center"/>
        <w:rPr>
          <w:i/>
        </w:rPr>
      </w:pPr>
      <w:r>
        <w:rPr>
          <w:i/>
          <w:vertAlign w:val="superscript"/>
        </w:rPr>
        <w:t>4</w:t>
      </w:r>
      <w:r>
        <w:rPr>
          <w:i/>
        </w:rPr>
        <w:t>Graz University of Technology, Institute for Inorganic Chemistry, Stremayrgasse 9, Graz, 8010, Austria</w:t>
      </w:r>
    </w:p>
    <w:p>
      <w:pPr>
        <w:pStyle w:val="Normal"/>
        <w:jc w:val="center"/>
        <w:rPr>
          <w:i/>
        </w:rPr>
      </w:pPr>
      <w:r>
        <w:rPr>
          <w:i/>
        </w:rPr>
        <w:t>yurii.yakovlev@matfyz.cuni.cz</w:t>
      </w:r>
    </w:p>
    <w:p>
      <w:pPr>
        <w:pStyle w:val="Normal"/>
        <w:jc w:val="center"/>
        <w:rPr/>
      </w:pPr>
      <w:r>
        <w:rPr/>
      </w:r>
    </w:p>
    <w:p>
      <w:pPr>
        <w:pStyle w:val="Normal"/>
        <w:jc w:val="both"/>
        <w:rPr/>
      </w:pPr>
      <w:r>
        <w:rPr/>
      </w:r>
    </w:p>
    <w:p>
      <w:pPr>
        <w:pStyle w:val="Normal"/>
        <w:ind w:firstLine="288"/>
        <w:jc w:val="both"/>
        <w:rPr/>
      </w:pPr>
      <w:r>
        <w:rPr/>
        <w:t>Understanding the degradation mechanisms of electrocatalysts under realistic operating conditions such as elevated temperature, controlled humidity, and applied potential remains a critical challenge for the development of durable fuel cells and electrolysers. While significant progress has been achieved using ex situ methods and accelerated stress tests, these approaches often fail to capture the complex structural and chemical dynamics occurring during operation.</w:t>
      </w:r>
    </w:p>
    <w:p>
      <w:pPr>
        <w:pStyle w:val="Normal"/>
        <w:ind w:firstLine="288"/>
        <w:jc w:val="both"/>
        <w:rPr/>
      </w:pPr>
      <w:r>
        <w:rPr>
          <w:b w:val="false"/>
          <w:bCs w:val="false"/>
        </w:rPr>
        <w:t xml:space="preserve">In our work, we combine electrochemical methods with synchrotron-based techniques, particularly </w:t>
      </w:r>
      <w:r>
        <w:rPr>
          <w:rStyle w:val="Strong"/>
          <w:b w:val="false"/>
          <w:bCs w:val="false"/>
        </w:rPr>
        <w:t>X-ray absorption spectroscopy (XAS)</w:t>
      </w:r>
      <w:r>
        <w:rPr>
          <w:b w:val="false"/>
          <w:bCs w:val="false"/>
        </w:rPr>
        <w:t xml:space="preserve"> and </w:t>
      </w:r>
      <w:r>
        <w:rPr>
          <w:rStyle w:val="Strong"/>
          <w:b w:val="false"/>
          <w:bCs w:val="false"/>
        </w:rPr>
        <w:t>small- and wide-angle X-ray scattering (SAXS/WAXS)</w:t>
      </w:r>
      <w:r>
        <w:rPr>
          <w:b w:val="false"/>
          <w:bCs w:val="false"/>
        </w:rPr>
        <w:t xml:space="preserve">, to probe electrocatalysts across multiple length scales. The development of dedicated </w:t>
      </w:r>
      <w:r>
        <w:rPr>
          <w:rStyle w:val="Strong"/>
          <w:b w:val="false"/>
          <w:bCs w:val="false"/>
        </w:rPr>
        <w:t>operando electrochemical cells</w:t>
      </w:r>
      <w:r>
        <w:rPr>
          <w:b w:val="false"/>
          <w:bCs w:val="false"/>
        </w:rPr>
        <w:t xml:space="preserve"> enables measurements under realistic conditions and allows for the direct correlation of structural changes with electrochemical performance.</w:t>
      </w:r>
    </w:p>
    <w:p>
      <w:pPr>
        <w:pStyle w:val="Normal"/>
        <w:ind w:firstLine="288"/>
        <w:jc w:val="both"/>
        <w:rPr/>
      </w:pPr>
      <w:r>
        <w:rPr>
          <w:b w:val="false"/>
          <w:bCs w:val="false"/>
        </w:rPr>
        <w:t xml:space="preserve">These approaches provide insights into fundamental degradation processes, including </w:t>
      </w:r>
      <w:r>
        <w:rPr>
          <w:rStyle w:val="Strong"/>
          <w:b w:val="false"/>
          <w:bCs w:val="false"/>
        </w:rPr>
        <w:t>nanoparticle growth and dissolution, alloy dealloying, carbon support corrosion, and morphological restructuring</w:t>
      </w:r>
      <w:r>
        <w:rPr>
          <w:b w:val="false"/>
          <w:bCs w:val="false"/>
        </w:rPr>
        <w:t>. Furthermore, by comparing operando and ex situ measurements, it becomes possible to elucidate the limitations of conventional testing protocols and to capture transient phenomena occurring under dynamic operation.</w:t>
      </w:r>
    </w:p>
    <w:p>
      <w:pPr>
        <w:pStyle w:val="Normal"/>
        <w:ind w:firstLine="288"/>
        <w:jc w:val="both"/>
        <w:rPr/>
      </w:pPr>
      <w:r>
        <w:rPr/>
        <w:t>B</w:t>
      </w:r>
      <w:r>
        <w:rPr/>
        <w:t>y bridging insights from the atomic to the mesoscale, operando approaches contribute to a more comprehensive understanding of catalyst degradation, ultimately supporting the rational design of more active and durable electrocatalysts for energy conversion technologies.</w:t>
      </w:r>
    </w:p>
    <w:p>
      <w:pPr>
        <w:pStyle w:val="Normal"/>
        <w:jc w:val="both"/>
        <w:rPr>
          <w:sz w:val="20"/>
          <w:szCs w:val="20"/>
        </w:rPr>
      </w:pPr>
      <w:r>
        <w:rPr>
          <w:sz w:val="20"/>
          <w:szCs w:val="20"/>
        </w:rPr>
      </w:r>
    </w:p>
    <w:p>
      <w:pPr>
        <w:pStyle w:val="Normal"/>
        <w:jc w:val="both"/>
        <w:rPr>
          <w:sz w:val="20"/>
          <w:szCs w:val="20"/>
        </w:rPr>
      </w:pPr>
      <w:r>
        <w:rPr>
          <w:sz w:val="20"/>
          <w:szCs w:val="20"/>
        </w:rPr>
      </w:r>
    </w:p>
    <w:p>
      <w:pPr>
        <w:pStyle w:val="Normal"/>
        <w:jc w:val="both"/>
        <w:rPr>
          <w:sz w:val="20"/>
          <w:szCs w:val="20"/>
        </w:rPr>
      </w:pPr>
      <w:r>
        <w:rPr>
          <w:sz w:val="20"/>
          <w:szCs w:val="20"/>
        </w:rPr>
        <w:t>Literature:</w:t>
      </w:r>
    </w:p>
    <w:p>
      <w:pPr>
        <w:pStyle w:val="Normal"/>
        <w:numPr>
          <w:ilvl w:val="0"/>
          <w:numId w:val="2"/>
        </w:numPr>
        <w:jc w:val="both"/>
        <w:rPr>
          <w:sz w:val="20"/>
          <w:szCs w:val="20"/>
        </w:rPr>
      </w:pPr>
      <w:r>
        <w:rPr>
          <w:sz w:val="20"/>
          <w:szCs w:val="20"/>
        </w:rPr>
        <w:t>Bogar, M.; Yakovlev, Y.; Pollastri, S.; Biagi, R.; Amenitsch, H.; Taccani, R.; Matolínová, I.,Capabilities of a Novel Electrochemical Cell for Operando XAS and SAXS Investigations for PEM Fuel Cells and Water Electrolysers.Journal of Power Sources 615 (2024) 235070.</w:t>
      </w:r>
    </w:p>
    <w:p>
      <w:pPr>
        <w:pStyle w:val="Normal"/>
        <w:numPr>
          <w:ilvl w:val="0"/>
          <w:numId w:val="2"/>
        </w:numPr>
        <w:jc w:val="both"/>
        <w:rPr>
          <w:sz w:val="20"/>
          <w:szCs w:val="20"/>
        </w:rPr>
      </w:pPr>
      <w:r>
        <w:rPr>
          <w:sz w:val="20"/>
          <w:szCs w:val="20"/>
        </w:rPr>
        <w:t>Bogar, M.; Yakovlev, Y.; Nováková, J.; Darabut, A. M.; Kriechbaum, M.; Amenitsch, H.; Taccani, R.; Matolínová, I., A Small Angle X-ray Scattering Approach for Investigating Fuel Cell Catalyst Degradation for Both Ex Situ and in Operando Analyses. International Journal of Hydrogen Energy 58 (2024) 1673–1681.</w:t>
      </w:r>
    </w:p>
    <w:p>
      <w:pPr>
        <w:pStyle w:val="Normal"/>
        <w:numPr>
          <w:ilvl w:val="0"/>
          <w:numId w:val="2"/>
        </w:numPr>
        <w:jc w:val="both"/>
        <w:rPr>
          <w:sz w:val="20"/>
          <w:szCs w:val="20"/>
        </w:rPr>
      </w:pPr>
      <w:r>
        <w:rPr>
          <w:sz w:val="20"/>
          <w:szCs w:val="20"/>
        </w:rPr>
        <w:t>Bogar, M.; Yakovlev, Y.; Pollastri, S.; Hrbek, T.; Kalabis, D.; Marussi, G.; Crosera, M.; Biagi, R.; Amenitsch, H.; Taccani, R.; Matolínová, I. Operando and Ex Situ Comparison of Pt and Pt₃Co Catalyst Degradation under ORR in PEMFC. Chemical Engineering Journal: Green and Sustainable 1 (2026) 100017.</w:t>
      </w:r>
    </w:p>
    <w:sectPr>
      <w:type w:val="nextPage"/>
      <w:pgSz w:w="11906" w:h="16838"/>
      <w:pgMar w:left="1701" w:right="1701" w:gutter="0" w:header="0" w:top="1701" w:footer="0" w:bottom="1701"/>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characterSet="utf-8"/>
    <w:family w:val="roman"/>
    <w:pitch w:val="variable"/>
  </w:font>
  <w:font w:name="OpenSymbol">
    <w:altName w:val="Arial Unicode MS"/>
    <w:charset w:val="02"/>
    <w:family w:val="auto"/>
    <w:pitch w:val="default"/>
  </w:font>
  <w:font w:name="Liberation Sans">
    <w:altName w:val="Arial"/>
    <w:charset w:val="01" w:characterSet="utf-8"/>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abstractNum w:abstractNumId="2">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num w:numId="1">
    <w:abstractNumId w:val="1"/>
  </w:num>
  <w:num w:numId="2">
    <w:abstractNumId w:val="2"/>
  </w:num>
</w:numbering>
</file>

<file path=word/settings.xml><?xml version="1.0" encoding="utf-8"?>
<w:settings xmlns:w="http://schemas.openxmlformats.org/wordprocessingml/2006/main">
  <w:zoom w:percent="140"/>
  <w:defaultTabStop w:val="720"/>
  <w:autoHyphenation w:val="true"/>
  <w:hyphenationZone w:val="360"/>
  <w:doNotHyphenateCap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e0716d"/>
    <w:pPr>
      <w:widowControl w:val="false"/>
      <w:suppressAutoHyphens w:val="true"/>
      <w:bidi w:val="0"/>
      <w:spacing w:before="0" w:after="0"/>
      <w:jc w:val="start"/>
    </w:pPr>
    <w:rPr>
      <w:rFonts w:ascii="Times New Roman" w:hAnsi="Times New Roman" w:eastAsia="Times New Roman" w:cs="Times New Roman"/>
      <w:color w:val="auto"/>
      <w:kern w:val="0"/>
      <w:sz w:val="20"/>
      <w:szCs w:val="20"/>
      <w:lang w:val="en-US" w:eastAsia="en-US" w:bidi="ar-SA"/>
    </w:rPr>
  </w:style>
  <w:style w:type="character" w:styleId="DefaultParagraphFont" w:default="1">
    <w:name w:val="Default Paragraph Font"/>
    <w:semiHidden/>
    <w:qFormat/>
    <w:rPr/>
  </w:style>
  <w:style w:type="character" w:styleId="FootnoteCharacters">
    <w:name w:val="Footnote Characters"/>
    <w:qFormat/>
    <w:rPr/>
  </w:style>
  <w:style w:type="character" w:styleId="EndnoteCharacters">
    <w:name w:val="Endnote Characters"/>
    <w:qFormat/>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Emphasis">
    <w:name w:val="Emphasis"/>
    <w:qFormat/>
    <w:rPr>
      <w:i/>
      <w:iCs/>
    </w:rPr>
  </w:style>
  <w:style w:type="character" w:styleId="Hyperlink">
    <w:name w:val="Hyperlink"/>
    <w:rPr>
      <w:color w:val="000080"/>
      <w:u w:val="single"/>
    </w:rPr>
  </w:style>
  <w:style w:type="character" w:styleId="NumberingSymbols">
    <w:name w:val="Numbering Symbols"/>
    <w:qFormat/>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numbering" w:styleId="NoList" w:default="1">
    <w:name w:val="No List"/>
    <w:semiHidden/>
    <w:qFormat/>
  </w:style>
  <w:style w:type="table" w:default="1" w:styleId="TableNormal">
    <w:name w:val="Normal Table"/>
    <w:semiHidden/>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146</TotalTime>
  <Application>LibreOffice/26.2.2.2$Linux_X86_64 LibreOffice_project/620$Build-2</Application>
  <AppVersion>15.0000</AppVersion>
  <Pages>1</Pages>
  <Words>425</Words>
  <Characters>2770</Characters>
  <CharactersWithSpaces>3174</CharactersWithSpaces>
  <Paragraphs>15</Paragraphs>
  <Company>Electrochemical Society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2021-03-10T13:20:00Z</dcterms:created>
  <dc:creator>Electrochemical</dc:creator>
  <dc:description/>
  <dc:language>en-US</dc:language>
  <cp:lastModifiedBy>Yurii Yakovlev</cp:lastModifiedBy>
  <cp:lastPrinted>2013-10-21T12:07:00Z</cp:lastPrinted>
  <dcterms:modified xsi:type="dcterms:W3CDTF">2026-06-04T15:35:00Z</dcterms:modified>
  <cp:revision>10</cp:revision>
  <dc:subject/>
  <dc:title>Title</dc:title>
</cp:coreProperties>
</file>

<file path=docProps/custom.xml><?xml version="1.0" encoding="utf-8"?>
<Properties xmlns="http://schemas.openxmlformats.org/officeDocument/2006/custom-properties" xmlns:vt="http://schemas.openxmlformats.org/officeDocument/2006/docPropsVTypes"/>
</file>