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02691" w14:textId="77777777" w:rsidR="00251024" w:rsidRDefault="00251024" w:rsidP="00E0716D">
      <w:pPr>
        <w:jc w:val="center"/>
        <w:rPr>
          <w:b/>
          <w:sz w:val="28"/>
        </w:rPr>
      </w:pPr>
      <w:r w:rsidRPr="00251024">
        <w:rPr>
          <w:b/>
          <w:sz w:val="28"/>
        </w:rPr>
        <w:t xml:space="preserve">Designing Better Supercapacitors: </w:t>
      </w:r>
    </w:p>
    <w:p w14:paraId="5D7CAC5A" w14:textId="0EEA85EA" w:rsidR="00325004" w:rsidRPr="00A86EB9" w:rsidRDefault="00251024" w:rsidP="00E0716D">
      <w:pPr>
        <w:jc w:val="center"/>
        <w:rPr>
          <w:b/>
          <w:sz w:val="28"/>
        </w:rPr>
      </w:pPr>
      <w:r w:rsidRPr="00251024">
        <w:rPr>
          <w:b/>
          <w:sz w:val="28"/>
        </w:rPr>
        <w:t>The Critical Pore-Size/Ion-Size Relationship</w:t>
      </w:r>
    </w:p>
    <w:p w14:paraId="12ECE199" w14:textId="77777777" w:rsidR="00325004" w:rsidRPr="00A86EB9" w:rsidRDefault="00325004" w:rsidP="00E0716D">
      <w:pPr>
        <w:jc w:val="center"/>
        <w:rPr>
          <w:b/>
          <w:sz w:val="28"/>
        </w:rPr>
      </w:pPr>
    </w:p>
    <w:p w14:paraId="425DDADA" w14:textId="77777777" w:rsidR="00251024" w:rsidRPr="002C2C2A" w:rsidRDefault="00251024" w:rsidP="00251024">
      <w:pPr>
        <w:jc w:val="center"/>
        <w:rPr>
          <w:lang w:val="pt-PT"/>
        </w:rPr>
      </w:pPr>
      <w:r w:rsidRPr="002C2C2A">
        <w:rPr>
          <w:u w:val="single"/>
          <w:lang w:val="pt-PT"/>
        </w:rPr>
        <w:t>I. V. Voroshylova</w:t>
      </w:r>
      <w:r w:rsidRPr="002C2C2A">
        <w:rPr>
          <w:u w:val="single"/>
          <w:vertAlign w:val="superscript"/>
          <w:lang w:val="pt-PT"/>
        </w:rPr>
        <w:t>a</w:t>
      </w:r>
      <w:r w:rsidRPr="002C2C2A">
        <w:rPr>
          <w:lang w:val="pt-PT"/>
        </w:rPr>
        <w:t>, V. Koverga</w:t>
      </w:r>
      <w:r w:rsidRPr="002C2C2A">
        <w:rPr>
          <w:vertAlign w:val="superscript"/>
          <w:lang w:val="pt-PT"/>
        </w:rPr>
        <w:t>a</w:t>
      </w:r>
      <w:r w:rsidRPr="002C2C2A">
        <w:rPr>
          <w:lang w:val="pt-PT"/>
        </w:rPr>
        <w:t>, M. N. D. S. Cordeiro</w:t>
      </w:r>
      <w:r w:rsidRPr="002C2C2A">
        <w:rPr>
          <w:vertAlign w:val="superscript"/>
          <w:lang w:val="pt-PT"/>
        </w:rPr>
        <w:t>a</w:t>
      </w:r>
      <w:r w:rsidRPr="002C2C2A">
        <w:rPr>
          <w:lang w:val="pt-PT"/>
        </w:rPr>
        <w:t>, V. B. Ivanistsev</w:t>
      </w:r>
      <w:r w:rsidRPr="002C2C2A">
        <w:rPr>
          <w:vertAlign w:val="superscript"/>
          <w:lang w:val="pt-PT"/>
        </w:rPr>
        <w:t>b</w:t>
      </w:r>
    </w:p>
    <w:p w14:paraId="25A1C7BF" w14:textId="77777777" w:rsidR="00251024" w:rsidRPr="002C2C2A" w:rsidRDefault="00251024" w:rsidP="00251024">
      <w:pPr>
        <w:jc w:val="center"/>
        <w:rPr>
          <w:i/>
        </w:rPr>
      </w:pPr>
      <w:proofErr w:type="spellStart"/>
      <w:r w:rsidRPr="002C2C2A">
        <w:rPr>
          <w:i/>
          <w:vertAlign w:val="superscript"/>
        </w:rPr>
        <w:t>a</w:t>
      </w:r>
      <w:r w:rsidRPr="002C2C2A">
        <w:rPr>
          <w:i/>
        </w:rPr>
        <w:t>LAQV@REQUIMTE</w:t>
      </w:r>
      <w:proofErr w:type="spellEnd"/>
      <w:r w:rsidRPr="002C2C2A">
        <w:rPr>
          <w:i/>
        </w:rPr>
        <w:t>, Department of Chemistry and Biochemistry,</w:t>
      </w:r>
      <w:r>
        <w:rPr>
          <w:i/>
        </w:rPr>
        <w:t xml:space="preserve"> </w:t>
      </w:r>
      <w:r w:rsidRPr="002C2C2A">
        <w:rPr>
          <w:i/>
        </w:rPr>
        <w:t>Faculty of Sciences, University of Porto</w:t>
      </w:r>
      <w:r>
        <w:rPr>
          <w:i/>
        </w:rPr>
        <w:t>,</w:t>
      </w:r>
      <w:r w:rsidRPr="002C2C2A">
        <w:rPr>
          <w:i/>
        </w:rPr>
        <w:t xml:space="preserve"> </w:t>
      </w:r>
      <w:proofErr w:type="spellStart"/>
      <w:r w:rsidRPr="002C2C2A">
        <w:rPr>
          <w:i/>
        </w:rPr>
        <w:t>Rua</w:t>
      </w:r>
      <w:proofErr w:type="spellEnd"/>
      <w:r w:rsidRPr="002C2C2A">
        <w:rPr>
          <w:i/>
        </w:rPr>
        <w:t xml:space="preserve"> do Campo Alegre, 4169-007 Porto, Portugal</w:t>
      </w:r>
    </w:p>
    <w:p w14:paraId="4A78A91A" w14:textId="77777777" w:rsidR="00251024" w:rsidRDefault="00251024" w:rsidP="00251024">
      <w:pPr>
        <w:jc w:val="center"/>
        <w:rPr>
          <w:i/>
        </w:rPr>
      </w:pPr>
      <w:proofErr w:type="spellStart"/>
      <w:r w:rsidRPr="002C2C2A">
        <w:rPr>
          <w:i/>
          <w:vertAlign w:val="superscript"/>
        </w:rPr>
        <w:t>b</w:t>
      </w:r>
      <w:r w:rsidRPr="002C2C2A">
        <w:rPr>
          <w:i/>
        </w:rPr>
        <w:t>Department</w:t>
      </w:r>
      <w:proofErr w:type="spellEnd"/>
      <w:r w:rsidRPr="002C2C2A">
        <w:rPr>
          <w:i/>
        </w:rPr>
        <w:t xml:space="preserve"> of Chemistry, University of Latvia, </w:t>
      </w:r>
    </w:p>
    <w:p w14:paraId="11FC2590" w14:textId="77777777" w:rsidR="00251024" w:rsidRPr="002C2C2A" w:rsidRDefault="00251024" w:rsidP="00251024">
      <w:pPr>
        <w:jc w:val="center"/>
        <w:rPr>
          <w:i/>
          <w:lang w:val="pt-PT"/>
        </w:rPr>
      </w:pPr>
      <w:r w:rsidRPr="002C2C2A">
        <w:rPr>
          <w:i/>
          <w:lang w:val="pt-PT"/>
        </w:rPr>
        <w:t>Jelgavas 1, Riga LV-1004, Latvia</w:t>
      </w:r>
    </w:p>
    <w:p w14:paraId="07A00209" w14:textId="1139B3FF" w:rsidR="00325004" w:rsidRDefault="00251024" w:rsidP="00251024">
      <w:pPr>
        <w:jc w:val="center"/>
        <w:rPr>
          <w:i/>
          <w:lang w:val="pt-PT"/>
        </w:rPr>
      </w:pPr>
      <w:r w:rsidRPr="00251024">
        <w:rPr>
          <w:i/>
          <w:lang w:val="pt-PT"/>
        </w:rPr>
        <w:t>voroshylova.iuliia@fc.up.pt</w:t>
      </w:r>
    </w:p>
    <w:p w14:paraId="2FDA79DE" w14:textId="77777777" w:rsidR="00251024" w:rsidRPr="00251024" w:rsidRDefault="00251024" w:rsidP="00251024">
      <w:pPr>
        <w:jc w:val="center"/>
        <w:rPr>
          <w:lang w:val="pt-PT"/>
        </w:rPr>
      </w:pPr>
    </w:p>
    <w:p w14:paraId="74235108" w14:textId="4F3D9B35" w:rsidR="00251024" w:rsidRDefault="00251024" w:rsidP="00251024">
      <w:pPr>
        <w:jc w:val="both"/>
      </w:pPr>
      <w:r>
        <w:t>Electric double-layer capacitors (EDLCs) represent a crucial technology for energy storage applications that demand rapid charge and discharge capabilities. The energy density and power delivery of these devices are intricately linked to pore dimensions, electrolyte characteristics, and the resulting electrode-electrolyte interfaces.[1] In this study, we employ atomistic molecular dynamics simulations to explore how slit-pore geometry dictates ionic arrangement, charge separation, and transport phenomena within model supercapacitor frameworks</w:t>
      </w:r>
    </w:p>
    <w:p w14:paraId="09E899E5" w14:textId="77777777" w:rsidR="00251024" w:rsidRDefault="00251024" w:rsidP="00251024">
      <w:pPr>
        <w:jc w:val="both"/>
      </w:pPr>
    </w:p>
    <w:p w14:paraId="3B648E94" w14:textId="77777777" w:rsidR="00251024" w:rsidRDefault="00251024" w:rsidP="00251024">
      <w:pPr>
        <w:jc w:val="both"/>
      </w:pPr>
      <w:r>
        <w:t>The primary focus of this investigation centers on carbon slit-pore electrodes featuring precisely controlled widths ranging from 0.75 to 1.5 nm, modeled under constant-potential conditions.[2] These nanostructures were interfaced with the ionic liquid 1-ethyl-3-methylimidazolium hexafluorophosphate. This specific model enables us to decouple the influence of pore width on the structural organization of the confined fluid and its overall electrostatic response. For each discrete pore dimension, we evaluated local ion densities, internal layering patterns, charge distributions, intra-pore ion mobility, and the resulting capacitance-voltage profiles. Particular emphasis was placed on pore scales that match the dimensions of the constituent ions, where spatial restriction and interionic correlations become dominant.</w:t>
      </w:r>
    </w:p>
    <w:p w14:paraId="1BBE99F0" w14:textId="77777777" w:rsidR="00251024" w:rsidRDefault="00251024" w:rsidP="00251024">
      <w:pPr>
        <w:jc w:val="both"/>
      </w:pPr>
    </w:p>
    <w:p w14:paraId="7A243B50" w14:textId="77777777" w:rsidR="00251024" w:rsidRDefault="00251024" w:rsidP="00251024">
      <w:pPr>
        <w:jc w:val="both"/>
      </w:pPr>
      <w:r>
        <w:t>Our simulations demonstrate that pore size is not merely a spatial constraint, but a fundamental determinant of the underlying charging mechanism. Within sub-nanometer pores, structural packing is restricted by the carbon walls, and the applied voltage forces the development of highly ordered alternating layers of counterions and co-ions. This severe confinement can boost energy storage by forcing high-density ionic configurations near the electrified surface. Conversely, excessive spatial restriction hinders the rate of ion exchange between the internal pore volume and the bulk electrolyte. While wider pores offer the necessary volume for rapid restructuring and enhanced transport, the accumulated charge is packed less densely. Consequently, identifying the ideal pore scale requires balancing maximum capacitance against sufficient ionic throughput.[3]</w:t>
      </w:r>
    </w:p>
    <w:p w14:paraId="5B0475EE" w14:textId="77777777" w:rsidR="00251024" w:rsidRDefault="00251024" w:rsidP="00251024">
      <w:pPr>
        <w:jc w:val="both"/>
      </w:pPr>
      <w:r>
        <w:t xml:space="preserve">These findings underscore that the rational engineering of next-generation supercapacitors cannot treat the host electrode and the electrolyte as independent variables. Rather, internal pore dimensions must be tailored in direct tandem with ionic volumes and electrolyte formulations. Ultimately, the ratio between pore size and ion size must be adopted as a foundational design metric for optimizing EDLC performance. </w:t>
      </w:r>
    </w:p>
    <w:p w14:paraId="5F517F1B" w14:textId="77777777" w:rsidR="00251024" w:rsidRDefault="00251024" w:rsidP="00251024">
      <w:pPr>
        <w:jc w:val="both"/>
      </w:pPr>
    </w:p>
    <w:p w14:paraId="38A24030" w14:textId="77777777" w:rsidR="00251024" w:rsidRPr="00251024" w:rsidRDefault="00251024" w:rsidP="00251024">
      <w:pPr>
        <w:jc w:val="both"/>
        <w:rPr>
          <w:b/>
          <w:bCs/>
        </w:rPr>
      </w:pPr>
      <w:r w:rsidRPr="00251024">
        <w:rPr>
          <w:b/>
          <w:bCs/>
        </w:rPr>
        <w:t>Funding</w:t>
      </w:r>
    </w:p>
    <w:p w14:paraId="552D0DB1" w14:textId="31AF998B" w:rsidR="00251024" w:rsidRDefault="00251024" w:rsidP="00251024">
      <w:pPr>
        <w:jc w:val="both"/>
      </w:pPr>
      <w:r>
        <w:t xml:space="preserve">This work received financial support from PT national funds (FCT/MECI, </w:t>
      </w:r>
      <w:proofErr w:type="spellStart"/>
      <w:r>
        <w:t>Fundação</w:t>
      </w:r>
      <w:proofErr w:type="spellEnd"/>
      <w:r>
        <w:t xml:space="preserve"> para a </w:t>
      </w:r>
      <w:proofErr w:type="spellStart"/>
      <w:r>
        <w:t>Ciência</w:t>
      </w:r>
      <w:proofErr w:type="spellEnd"/>
      <w:r>
        <w:t xml:space="preserve"> e </w:t>
      </w:r>
      <w:proofErr w:type="spellStart"/>
      <w:r>
        <w:t>Tecnologia</w:t>
      </w:r>
      <w:proofErr w:type="spellEnd"/>
      <w:r>
        <w:t xml:space="preserve"> and </w:t>
      </w:r>
      <w:proofErr w:type="spellStart"/>
      <w:r>
        <w:t>Ministério</w:t>
      </w:r>
      <w:proofErr w:type="spellEnd"/>
      <w:r>
        <w:t xml:space="preserve"> da </w:t>
      </w:r>
      <w:proofErr w:type="spellStart"/>
      <w:r>
        <w:t>Educação</w:t>
      </w:r>
      <w:proofErr w:type="spellEnd"/>
      <w:r>
        <w:t xml:space="preserve">, </w:t>
      </w:r>
      <w:proofErr w:type="spellStart"/>
      <w:r>
        <w:t>Ciência</w:t>
      </w:r>
      <w:proofErr w:type="spellEnd"/>
      <w:r>
        <w:t xml:space="preserve"> e </w:t>
      </w:r>
      <w:proofErr w:type="spellStart"/>
      <w:r>
        <w:t>Inovação</w:t>
      </w:r>
      <w:proofErr w:type="spellEnd"/>
      <w:r>
        <w:t>) through the project 2024.18148.PEX.</w:t>
      </w:r>
    </w:p>
    <w:p w14:paraId="6C8E89FD" w14:textId="77777777" w:rsidR="00251024" w:rsidRDefault="00251024" w:rsidP="00251024">
      <w:pPr>
        <w:jc w:val="both"/>
      </w:pPr>
    </w:p>
    <w:p w14:paraId="2EBA394B" w14:textId="77777777" w:rsidR="00251024" w:rsidRDefault="00251024" w:rsidP="00251024">
      <w:pPr>
        <w:jc w:val="both"/>
        <w:rPr>
          <w:b/>
          <w:bCs/>
        </w:rPr>
      </w:pPr>
      <w:r w:rsidRPr="00251024">
        <w:rPr>
          <w:b/>
          <w:bCs/>
        </w:rPr>
        <w:t>Acknowledgements</w:t>
      </w:r>
    </w:p>
    <w:p w14:paraId="3C731E29" w14:textId="3934C8F0" w:rsidR="00251024" w:rsidRDefault="00251024" w:rsidP="00251024">
      <w:pPr>
        <w:jc w:val="both"/>
      </w:pPr>
      <w:r>
        <w:t xml:space="preserve">Computational resources were provided by the National Network for Advanced Computing (RNCA) under project </w:t>
      </w:r>
      <w:proofErr w:type="gramStart"/>
      <w:r>
        <w:t>2025.09537.CPCA</w:t>
      </w:r>
      <w:proofErr w:type="gramEnd"/>
      <w:r>
        <w:t xml:space="preserve"> and by </w:t>
      </w:r>
      <w:proofErr w:type="spellStart"/>
      <w:r>
        <w:t>EuroHPC</w:t>
      </w:r>
      <w:proofErr w:type="spellEnd"/>
      <w:r>
        <w:t xml:space="preserve"> under project EHPC-DEV-2026D01-110.</w:t>
      </w:r>
    </w:p>
    <w:p w14:paraId="55D1A8BD" w14:textId="77777777" w:rsidR="00251024" w:rsidRDefault="00251024" w:rsidP="00251024">
      <w:pPr>
        <w:jc w:val="both"/>
      </w:pPr>
    </w:p>
    <w:p w14:paraId="2758E316" w14:textId="390D7F19" w:rsidR="00251024" w:rsidRPr="00251024" w:rsidRDefault="00251024" w:rsidP="00251024">
      <w:pPr>
        <w:jc w:val="both"/>
        <w:rPr>
          <w:b/>
          <w:bCs/>
          <w:lang w:val="pt-PT"/>
        </w:rPr>
      </w:pPr>
      <w:r w:rsidRPr="00251024">
        <w:rPr>
          <w:b/>
          <w:bCs/>
          <w:lang w:val="pt-PT"/>
        </w:rPr>
        <w:t>References</w:t>
      </w:r>
    </w:p>
    <w:p w14:paraId="180C94D1" w14:textId="77777777" w:rsidR="00251024" w:rsidRDefault="00251024" w:rsidP="00251024">
      <w:pPr>
        <w:jc w:val="both"/>
      </w:pPr>
      <w:r w:rsidRPr="00251024">
        <w:rPr>
          <w:lang w:val="pt-PT"/>
        </w:rPr>
        <w:t xml:space="preserve">[1] Pereira, R. G. et al. </w:t>
      </w:r>
      <w:r>
        <w:t xml:space="preserve">Enhancing power and energy densities of supercapacitors with slit porous carbon electrodes by playing with pore width and ion shapes. </w:t>
      </w:r>
      <w:proofErr w:type="spellStart"/>
      <w:r w:rsidRPr="00D94F74">
        <w:rPr>
          <w:i/>
          <w:iCs/>
        </w:rPr>
        <w:t>Electrochim</w:t>
      </w:r>
      <w:proofErr w:type="spellEnd"/>
      <w:r w:rsidRPr="00D94F74">
        <w:rPr>
          <w:i/>
          <w:iCs/>
        </w:rPr>
        <w:t>. Acta</w:t>
      </w:r>
      <w:r>
        <w:t>, 2024, 492, 144381</w:t>
      </w:r>
    </w:p>
    <w:p w14:paraId="35B5D6E4" w14:textId="77777777" w:rsidR="00251024" w:rsidRDefault="00251024" w:rsidP="00251024">
      <w:pPr>
        <w:jc w:val="both"/>
      </w:pPr>
      <w:r>
        <w:t xml:space="preserve">[2] Bacon, C. et al. Simulating the charging mechanism of a realistic nanoporous carbon-based supercapacitor using a fully polarizable model. </w:t>
      </w:r>
      <w:r w:rsidRPr="00D94F74">
        <w:rPr>
          <w:i/>
          <w:iCs/>
        </w:rPr>
        <w:t>Energy Storage Materials</w:t>
      </w:r>
      <w:r>
        <w:t>, 2024, 69, 103415</w:t>
      </w:r>
    </w:p>
    <w:p w14:paraId="207AC6BF" w14:textId="1C01AED0" w:rsidR="00325004" w:rsidRDefault="00251024" w:rsidP="00251024">
      <w:pPr>
        <w:jc w:val="both"/>
      </w:pPr>
      <w:r>
        <w:t xml:space="preserve">[3] Mo, T. et al. Horn-like Pore Entrance Boosts Charging Dynamics and Charge Storage of Nanoporous Supercapacitors. </w:t>
      </w:r>
      <w:r w:rsidRPr="00D94F74">
        <w:rPr>
          <w:i/>
          <w:iCs/>
        </w:rPr>
        <w:t>ACS Nano</w:t>
      </w:r>
      <w:r>
        <w:t>, 2023, 17, 14974</w:t>
      </w:r>
    </w:p>
    <w:sectPr w:rsidR="00325004"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251024"/>
    <w:rsid w:val="00325004"/>
    <w:rsid w:val="00536366"/>
    <w:rsid w:val="00685C1A"/>
    <w:rsid w:val="00880F62"/>
    <w:rsid w:val="00D94F74"/>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CEFDCC"/>
  <w14:defaultImageDpi w14:val="300"/>
  <w15:docId w15:val="{EF88EA8E-2450-4CA8-B004-03C0ACD19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1024"/>
    <w:rPr>
      <w:color w:val="0000FF" w:themeColor="hyperlink"/>
      <w:u w:val="single"/>
    </w:rPr>
  </w:style>
  <w:style w:type="character" w:styleId="UnresolvedMention">
    <w:name w:val="Unresolved Mention"/>
    <w:basedOn w:val="DefaultParagraphFont"/>
    <w:uiPriority w:val="99"/>
    <w:semiHidden/>
    <w:unhideWhenUsed/>
    <w:rsid w:val="002510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Iuliia Voroshylova</cp:lastModifiedBy>
  <cp:revision>4</cp:revision>
  <cp:lastPrinted>2013-10-21T12:07:00Z</cp:lastPrinted>
  <dcterms:created xsi:type="dcterms:W3CDTF">2021-03-10T13:20:00Z</dcterms:created>
  <dcterms:modified xsi:type="dcterms:W3CDTF">2026-05-31T19:09:00Z</dcterms:modified>
</cp:coreProperties>
</file>