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9C595" w14:textId="0EC52A25" w:rsidR="00325004" w:rsidRPr="00A86EB9" w:rsidRDefault="00B734C8" w:rsidP="00E0716D">
      <w:pPr>
        <w:jc w:val="center"/>
        <w:rPr>
          <w:b/>
          <w:sz w:val="28"/>
        </w:rPr>
      </w:pPr>
      <w:r w:rsidRPr="00B734C8">
        <w:rPr>
          <w:b/>
          <w:sz w:val="28"/>
        </w:rPr>
        <w:t>Polyoxovanadate</w:t>
      </w:r>
      <w:r>
        <w:rPr>
          <w:b/>
          <w:sz w:val="28"/>
        </w:rPr>
        <w:t>-</w:t>
      </w:r>
      <w:r w:rsidRPr="00B734C8">
        <w:rPr>
          <w:b/>
          <w:sz w:val="28"/>
        </w:rPr>
        <w:t>Nanocellulose Hydrogels as Sustainable Redox-Active Architectures for Aqueous Electrochemical Energy Storage</w:t>
      </w:r>
    </w:p>
    <w:p w14:paraId="707DB779" w14:textId="77777777" w:rsidR="00325004" w:rsidRPr="00A86EB9" w:rsidRDefault="00325004" w:rsidP="00E0716D">
      <w:pPr>
        <w:jc w:val="center"/>
        <w:rPr>
          <w:b/>
          <w:sz w:val="28"/>
        </w:rPr>
      </w:pPr>
    </w:p>
    <w:p w14:paraId="21F48EB3" w14:textId="6B55BAD3" w:rsidR="00325004" w:rsidRPr="0062324B" w:rsidRDefault="00B734C8" w:rsidP="00E0716D">
      <w:pPr>
        <w:jc w:val="center"/>
        <w:rPr>
          <w:vertAlign w:val="superscript"/>
        </w:rPr>
      </w:pPr>
      <w:r w:rsidRPr="00B734C8">
        <w:rPr>
          <w:u w:val="single"/>
        </w:rPr>
        <w:t>Noah Al-Shamery</w:t>
      </w:r>
      <w:r w:rsidR="0093354C">
        <w:rPr>
          <w:u w:val="single"/>
          <w:vertAlign w:val="superscript"/>
        </w:rPr>
        <w:t>a</w:t>
      </w:r>
      <w:r w:rsidR="00325004" w:rsidRPr="00B734C8">
        <w:t xml:space="preserve">, </w:t>
      </w:r>
      <w:r w:rsidRPr="00B734C8">
        <w:t>Stanislav K. Petrovskii</w:t>
      </w:r>
      <w:r w:rsidR="0093354C">
        <w:rPr>
          <w:vertAlign w:val="superscript"/>
        </w:rPr>
        <w:t>a</w:t>
      </w:r>
      <w:r w:rsidRPr="00B734C8">
        <w:t>, Jonas Lorenz</w:t>
      </w:r>
      <w:r w:rsidR="0093354C">
        <w:rPr>
          <w:vertAlign w:val="superscript"/>
        </w:rPr>
        <w:t>a</w:t>
      </w:r>
      <w:r w:rsidRPr="00B734C8">
        <w:t>, To</w:t>
      </w:r>
      <w:r>
        <w:t>bias Benselfelt</w:t>
      </w:r>
      <w:r w:rsidR="0093354C">
        <w:rPr>
          <w:vertAlign w:val="superscript"/>
        </w:rPr>
        <w:t>b</w:t>
      </w:r>
      <w:r w:rsidR="0093354C">
        <w:t xml:space="preserve"> and</w:t>
      </w:r>
      <w:r w:rsidR="0062324B">
        <w:t xml:space="preserve"> Kirill Monakhov</w:t>
      </w:r>
      <w:r w:rsidR="0093354C">
        <w:rPr>
          <w:vertAlign w:val="superscript"/>
        </w:rPr>
        <w:t>a</w:t>
      </w:r>
      <w:r w:rsidR="000A5FC7">
        <w:rPr>
          <w:vertAlign w:val="superscript"/>
        </w:rPr>
        <w:br/>
      </w:r>
    </w:p>
    <w:p w14:paraId="63B6428F" w14:textId="622441F0" w:rsidR="0093354C" w:rsidRPr="0093354C" w:rsidRDefault="0093354C" w:rsidP="0093354C">
      <w:pPr>
        <w:jc w:val="center"/>
        <w:rPr>
          <w:i/>
          <w:lang w:val="en-GB"/>
        </w:rPr>
      </w:pPr>
      <w:r>
        <w:rPr>
          <w:i/>
          <w:vertAlign w:val="superscript"/>
        </w:rPr>
        <w:t>a</w:t>
      </w:r>
      <w:r w:rsidR="0062324B">
        <w:rPr>
          <w:i/>
          <w:lang w:val="en-GB"/>
        </w:rPr>
        <w:t>Leibniz Institute of Surface Engineering (IOM), 04318 Leipzig, Germany</w:t>
      </w:r>
    </w:p>
    <w:p w14:paraId="027221EA" w14:textId="52EAA6CF" w:rsidR="00325004" w:rsidRPr="0062324B" w:rsidRDefault="0093354C" w:rsidP="00E0716D">
      <w:pPr>
        <w:jc w:val="center"/>
      </w:pPr>
      <w:r>
        <w:rPr>
          <w:i/>
          <w:vertAlign w:val="superscript"/>
        </w:rPr>
        <w:t>b</w:t>
      </w:r>
      <w:r w:rsidR="0062324B" w:rsidRPr="0062324B">
        <w:rPr>
          <w:i/>
        </w:rPr>
        <w:t>Department of Fiber and Polymer Technology, School of Engineering Sciences in Chemistry, Biotechnology and Health, KTH Royal Institute of Technology</w:t>
      </w:r>
      <w:r w:rsidR="0062324B">
        <w:rPr>
          <w:i/>
        </w:rPr>
        <w:t>, 10044 Stockholm, Sweden</w:t>
      </w:r>
      <w:r w:rsidR="000A5FC7">
        <w:rPr>
          <w:i/>
        </w:rPr>
        <w:br/>
      </w:r>
    </w:p>
    <w:p w14:paraId="6F8BB20C" w14:textId="14FFF53B" w:rsidR="00685C1A" w:rsidRPr="0093354C" w:rsidRDefault="0093354C" w:rsidP="00E0716D">
      <w:pPr>
        <w:jc w:val="center"/>
        <w:rPr>
          <w:i/>
          <w:lang w:val="it-IT"/>
        </w:rPr>
      </w:pPr>
      <w:r w:rsidRPr="0093354C">
        <w:rPr>
          <w:i/>
          <w:lang w:val="it-IT"/>
        </w:rPr>
        <w:t xml:space="preserve">E-mail: </w:t>
      </w:r>
      <w:r w:rsidR="0062324B" w:rsidRPr="0093354C">
        <w:rPr>
          <w:i/>
          <w:lang w:val="it-IT"/>
        </w:rPr>
        <w:t>noahcoelestin.alshamery@leibniz-iom.de</w:t>
      </w:r>
    </w:p>
    <w:p w14:paraId="5D3A5E5C" w14:textId="77777777" w:rsidR="00325004" w:rsidRPr="0093354C" w:rsidRDefault="00325004" w:rsidP="00E0716D">
      <w:pPr>
        <w:jc w:val="center"/>
        <w:rPr>
          <w:lang w:val="it-IT"/>
        </w:rPr>
      </w:pPr>
    </w:p>
    <w:p w14:paraId="29BB3976" w14:textId="2092385D" w:rsidR="000A5FC7" w:rsidRDefault="000A5FC7" w:rsidP="000A5FC7">
      <w:pPr>
        <w:jc w:val="both"/>
      </w:pPr>
      <w:r w:rsidRPr="000A5FC7">
        <w:t xml:space="preserve">Polyoxometalates (POMs) represent an attractive class of redox-active molecular metal-oxide clusters due to their reversible multielectron charge-storage capabilities, structural tunability, and well-defined electrochemical behavior. However, translating these molecular properties into practical electrochemical architectures remains challenging, particularly in aqueous environments where the spatial organization, retention, and accessibility of redox </w:t>
      </w:r>
      <w:r w:rsidRPr="000A5FC7">
        <w:t>centers</w:t>
      </w:r>
      <w:r w:rsidRPr="000A5FC7">
        <w:t xml:space="preserve"> strongly influence device performance.</w:t>
      </w:r>
    </w:p>
    <w:p w14:paraId="5C4EACB5" w14:textId="77777777" w:rsidR="000A5FC7" w:rsidRPr="000A5FC7" w:rsidRDefault="000A5FC7" w:rsidP="000A5FC7">
      <w:pPr>
        <w:jc w:val="both"/>
      </w:pPr>
    </w:p>
    <w:p w14:paraId="7CB01208" w14:textId="37014C92" w:rsidR="000A5FC7" w:rsidRPr="000A5FC7" w:rsidRDefault="000A5FC7" w:rsidP="000A5FC7">
      <w:pPr>
        <w:jc w:val="both"/>
      </w:pPr>
      <w:r w:rsidRPr="000A5FC7">
        <w:t>Here, we investigate hydrated nanocellulose</w:t>
      </w:r>
      <w:r>
        <w:t>-</w:t>
      </w:r>
      <w:r w:rsidRPr="000A5FC7">
        <w:t>polyoxovanadate (POV) hybrid hydrogels as sustainable electrochemical materials for aqueous charge-storage applications. Fully oxidized vanadium-based clusters, including</w:t>
      </w:r>
      <w:r>
        <w:t xml:space="preserve"> species such as</w:t>
      </w:r>
      <w:r w:rsidRPr="000A5FC7">
        <w:t xml:space="preserve"> hexavanadate (V</w:t>
      </w:r>
      <w:r w:rsidRPr="000A5FC7">
        <w:rPr>
          <w:vertAlign w:val="subscript"/>
        </w:rPr>
        <w:t>6</w:t>
      </w:r>
      <w:r w:rsidRPr="000A5FC7">
        <w:t>) and decavanadate (V</w:t>
      </w:r>
      <w:r w:rsidRPr="000A5FC7">
        <w:rPr>
          <w:vertAlign w:val="subscript"/>
        </w:rPr>
        <w:t>10</w:t>
      </w:r>
      <w:r w:rsidRPr="000A5FC7">
        <w:t>), are incorporated into ionically conductive nanocellulose networks that provide a hydrated, mechanically robust, and renewable scaffold</w:t>
      </w:r>
      <w:r w:rsidR="007B6A08">
        <w:t xml:space="preserve"> [1]</w:t>
      </w:r>
      <w:r w:rsidRPr="000A5FC7">
        <w:t>. The resulting composites combine the redox activity of molecular vanadium oxide clusters with the efficient ion transport and structural adaptability of nanocellulose hydrogels.</w:t>
      </w:r>
    </w:p>
    <w:p w14:paraId="3E58449D" w14:textId="0A95C963" w:rsidR="000A5FC7" w:rsidRDefault="000A5FC7" w:rsidP="000A5FC7">
      <w:pPr>
        <w:jc w:val="both"/>
      </w:pPr>
      <w:r w:rsidRPr="000A5FC7">
        <w:t>The structure and interfacial organization of the hybrid materials are characterized using atomic force microscopy (AFM),</w:t>
      </w:r>
      <w:r w:rsidR="00284930">
        <w:t xml:space="preserve"> scanning electron microscopy (SEM),</w:t>
      </w:r>
      <w:r w:rsidRPr="000A5FC7">
        <w:t xml:space="preserve"> vibrational spectroscopy (Raman and FTIR), and electrochemical methods. Particular emphasis is placed on understanding how the nanocellulose microenvironment influences polyoxovanadate distribution, redox accessibility, and ion transport within the hydrated matrix. Electrochemical measurements reveal pronounced pseudocapacitive behavior arising from the embedded polyoxovanadate clusters while maintaining the ionic conductivity of the hydrogel architecture</w:t>
      </w:r>
      <w:r>
        <w:t xml:space="preserve"> when combined with conductive polymer additives such as polypyrrole added by vapor-phase polymerization</w:t>
      </w:r>
      <w:r w:rsidR="00284930">
        <w:t xml:space="preserve"> [1]</w:t>
      </w:r>
      <w:r w:rsidRPr="000A5FC7">
        <w:t>. Furthermore, spatially resolved electrochemical characterization using scanning electrochemical cell microscopy (SECCM) is explored to probe local charge-storage activity and heterogeneity across the composite interface</w:t>
      </w:r>
      <w:r w:rsidR="007B6A08">
        <w:t xml:space="preserve"> [2]</w:t>
      </w:r>
      <w:r w:rsidRPr="000A5FC7">
        <w:t>.</w:t>
      </w:r>
    </w:p>
    <w:p w14:paraId="5D5C2105" w14:textId="77777777" w:rsidR="000A5FC7" w:rsidRPr="000A5FC7" w:rsidRDefault="000A5FC7" w:rsidP="000A5FC7">
      <w:pPr>
        <w:jc w:val="both"/>
      </w:pPr>
    </w:p>
    <w:p w14:paraId="5B4D15D9" w14:textId="434517F9" w:rsidR="000A5FC7" w:rsidRPr="000A5FC7" w:rsidRDefault="000A5FC7" w:rsidP="000A5FC7">
      <w:pPr>
        <w:jc w:val="both"/>
      </w:pPr>
      <w:r w:rsidRPr="000A5FC7">
        <w:t>These results establish nanocellulose</w:t>
      </w:r>
      <w:r w:rsidR="007B6A08">
        <w:t>-</w:t>
      </w:r>
      <w:r w:rsidR="00284930">
        <w:t>POV</w:t>
      </w:r>
      <w:r w:rsidRPr="000A5FC7">
        <w:t xml:space="preserve"> hydrogels as a promising platform for sustainable aqueous electrochemical energy-storage materials and provide insight into the design of redox-active soft matter architectures in which molecular charge-storage units are integrated within biomaterial-derived ion-conducting networks.</w:t>
      </w:r>
    </w:p>
    <w:p w14:paraId="2342E4D6" w14:textId="374C055E" w:rsidR="00325004" w:rsidRDefault="00325004" w:rsidP="00E0716D">
      <w:pPr>
        <w:jc w:val="both"/>
      </w:pPr>
    </w:p>
    <w:p w14:paraId="45A945E4" w14:textId="77777777" w:rsidR="00E0716D" w:rsidRDefault="00E0716D" w:rsidP="00E0716D">
      <w:pPr>
        <w:jc w:val="both"/>
      </w:pPr>
    </w:p>
    <w:p w14:paraId="77B0FC57" w14:textId="77777777" w:rsidR="00837817" w:rsidRDefault="00837817" w:rsidP="00E0716D">
      <w:pPr>
        <w:jc w:val="both"/>
        <w:rPr>
          <w:b/>
        </w:rPr>
      </w:pPr>
      <w:r>
        <w:rPr>
          <w:b/>
        </w:rPr>
        <w:t>References</w:t>
      </w:r>
    </w:p>
    <w:p w14:paraId="14828371" w14:textId="77777777" w:rsidR="0093354C" w:rsidRDefault="0093354C" w:rsidP="00E0716D">
      <w:pPr>
        <w:jc w:val="both"/>
        <w:rPr>
          <w:b/>
        </w:rPr>
      </w:pPr>
    </w:p>
    <w:p w14:paraId="7801C311" w14:textId="043F0B29" w:rsidR="00837817" w:rsidRPr="0093354C" w:rsidRDefault="000A5FC7" w:rsidP="00E0716D">
      <w:pPr>
        <w:jc w:val="both"/>
        <w:rPr>
          <w:b/>
        </w:rPr>
      </w:pPr>
      <w:r>
        <w:rPr>
          <w:bCs/>
        </w:rPr>
        <w:t>[1]</w:t>
      </w:r>
      <w:r w:rsidR="007B6A08">
        <w:rPr>
          <w:bCs/>
        </w:rPr>
        <w:t xml:space="preserve"> </w:t>
      </w:r>
      <w:r w:rsidR="0093354C">
        <w:rPr>
          <w:bCs/>
        </w:rPr>
        <w:t xml:space="preserve">Benselfelt, T.; Al-Shamery, N.; Gao, D.; Lee, P. S. </w:t>
      </w:r>
      <w:r w:rsidR="0093354C" w:rsidRPr="0093354C">
        <w:rPr>
          <w:bCs/>
        </w:rPr>
        <w:t>Rod-like percolation of conducting polymers via vapor-phase polymerization into cellulose nanofibril hydrogels</w:t>
      </w:r>
      <w:r w:rsidR="0093354C">
        <w:rPr>
          <w:bCs/>
        </w:rPr>
        <w:t xml:space="preserve">. </w:t>
      </w:r>
      <w:r w:rsidR="0093354C">
        <w:rPr>
          <w:bCs/>
          <w:i/>
        </w:rPr>
        <w:t>Carbohydrate Polymers</w:t>
      </w:r>
      <w:r w:rsidR="0093354C">
        <w:rPr>
          <w:bCs/>
        </w:rPr>
        <w:t xml:space="preserve"> </w:t>
      </w:r>
      <w:r w:rsidR="0093354C">
        <w:rPr>
          <w:b/>
        </w:rPr>
        <w:t>2026</w:t>
      </w:r>
      <w:r w:rsidR="0093354C" w:rsidRPr="0093354C">
        <w:t>,</w:t>
      </w:r>
      <w:r w:rsidR="0093354C">
        <w:t xml:space="preserve"> </w:t>
      </w:r>
      <w:r w:rsidR="0093354C">
        <w:rPr>
          <w:i/>
        </w:rPr>
        <w:t>379</w:t>
      </w:r>
      <w:r w:rsidR="0093354C">
        <w:t xml:space="preserve">, 124949. DOI: </w:t>
      </w:r>
      <w:r w:rsidR="0093354C" w:rsidRPr="0093354C">
        <w:t>10.1016/j.carbpol.2026.124949</w:t>
      </w:r>
      <w:r w:rsidR="0093354C">
        <w:t>.</w:t>
      </w:r>
    </w:p>
    <w:p w14:paraId="0BE48FF2" w14:textId="77777777" w:rsidR="0093354C" w:rsidRPr="007B6A08" w:rsidRDefault="0093354C" w:rsidP="00E0716D">
      <w:pPr>
        <w:jc w:val="both"/>
        <w:rPr>
          <w:bCs/>
        </w:rPr>
      </w:pPr>
    </w:p>
    <w:p w14:paraId="0EB5252B" w14:textId="565F9B57" w:rsidR="0093354C" w:rsidRPr="0093354C" w:rsidRDefault="000A5FC7" w:rsidP="00E0716D">
      <w:pPr>
        <w:jc w:val="both"/>
      </w:pPr>
      <w:r w:rsidRPr="0093354C">
        <w:rPr>
          <w:bCs/>
        </w:rPr>
        <w:t>[2]</w:t>
      </w:r>
      <w:r w:rsidR="0093354C" w:rsidRPr="0093354C">
        <w:rPr>
          <w:bCs/>
        </w:rPr>
        <w:t xml:space="preserve"> Al-Shamery, N.; Lee, P. S.; Unwin, P. R.; Monakhov, K. Redox-programmed s</w:t>
      </w:r>
      <w:r w:rsidR="0093354C">
        <w:rPr>
          <w:bCs/>
        </w:rPr>
        <w:t xml:space="preserve">urfaces via scanning electrochemical cell microscopy (SECCM). </w:t>
      </w:r>
      <w:r w:rsidR="0093354C">
        <w:rPr>
          <w:bCs/>
          <w:i/>
        </w:rPr>
        <w:t>Trends in Chemistry</w:t>
      </w:r>
      <w:r w:rsidR="0093354C">
        <w:rPr>
          <w:bCs/>
        </w:rPr>
        <w:t xml:space="preserve"> </w:t>
      </w:r>
      <w:r w:rsidR="0093354C">
        <w:rPr>
          <w:b/>
        </w:rPr>
        <w:t>2025</w:t>
      </w:r>
      <w:r w:rsidR="0093354C" w:rsidRPr="0093354C">
        <w:t xml:space="preserve">, </w:t>
      </w:r>
      <w:r w:rsidR="0093354C" w:rsidRPr="0093354C">
        <w:rPr>
          <w:i/>
        </w:rPr>
        <w:t>7</w:t>
      </w:r>
      <w:r w:rsidR="0093354C">
        <w:t xml:space="preserve">, </w:t>
      </w:r>
      <w:r w:rsidR="0093354C" w:rsidRPr="0093354C">
        <w:t>494-496</w:t>
      </w:r>
      <w:r w:rsidR="0093354C">
        <w:t xml:space="preserve">. DOI: </w:t>
      </w:r>
      <w:r w:rsidR="0093354C" w:rsidRPr="0093354C">
        <w:t>10.1016/j.trechm.2025.07.004</w:t>
      </w:r>
      <w:r w:rsidR="0093354C">
        <w:t>.</w:t>
      </w:r>
    </w:p>
    <w:p w14:paraId="453E531A" w14:textId="77777777" w:rsidR="00325004" w:rsidRPr="0093354C" w:rsidRDefault="00325004" w:rsidP="00E0716D">
      <w:pPr>
        <w:jc w:val="both"/>
      </w:pPr>
    </w:p>
    <w:p w14:paraId="0306D6EE" w14:textId="77777777" w:rsidR="00325004" w:rsidRPr="0093354C" w:rsidRDefault="00325004" w:rsidP="00E0716D">
      <w:pPr>
        <w:jc w:val="both"/>
      </w:pPr>
    </w:p>
    <w:p w14:paraId="38700AB4" w14:textId="77777777" w:rsidR="00E0716D" w:rsidRPr="0093354C" w:rsidRDefault="00E0716D" w:rsidP="00E0716D">
      <w:pPr>
        <w:jc w:val="both"/>
      </w:pPr>
    </w:p>
    <w:sectPr w:rsidR="00E0716D" w:rsidRPr="0093354C"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A5FC7"/>
    <w:rsid w:val="00284930"/>
    <w:rsid w:val="00325004"/>
    <w:rsid w:val="00536366"/>
    <w:rsid w:val="0062324B"/>
    <w:rsid w:val="00685C1A"/>
    <w:rsid w:val="007B6A08"/>
    <w:rsid w:val="00837817"/>
    <w:rsid w:val="0093354C"/>
    <w:rsid w:val="00B734C8"/>
    <w:rsid w:val="00E0716D"/>
    <w:rsid w:val="00F71460"/>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082B34"/>
  <w14:defaultImageDpi w14:val="300"/>
  <w15:docId w15:val="{111B31E2-3EE2-4EF9-BCBD-1180E01C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716D"/>
    <w:pPr>
      <w:widowControl w:val="0"/>
    </w:pPr>
    <w:rPr>
      <w:snapToGrid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502</Words>
  <Characters>2868</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Noah Al-Shamery</cp:lastModifiedBy>
  <cp:revision>3</cp:revision>
  <cp:lastPrinted>2013-10-21T12:07:00Z</cp:lastPrinted>
  <dcterms:created xsi:type="dcterms:W3CDTF">2026-06-01T19:02:00Z</dcterms:created>
  <dcterms:modified xsi:type="dcterms:W3CDTF">2026-06-01T19:05:00Z</dcterms:modified>
</cp:coreProperties>
</file>