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001EA" w14:textId="1C0B8AB3" w:rsidR="00325004" w:rsidRPr="00E016C5" w:rsidRDefault="00AF445E" w:rsidP="00E0716D">
      <w:pPr>
        <w:jc w:val="center"/>
        <w:rPr>
          <w:b/>
          <w:sz w:val="28"/>
        </w:rPr>
      </w:pPr>
      <w:r>
        <w:rPr>
          <w:b/>
          <w:sz w:val="28"/>
        </w:rPr>
        <w:t>Design Routes Toward Sustainable</w:t>
      </w:r>
      <w:r w:rsidR="00200089">
        <w:rPr>
          <w:b/>
          <w:sz w:val="28"/>
        </w:rPr>
        <w:t xml:space="preserve"> Extended-Gate </w:t>
      </w:r>
      <w:r w:rsidR="00760E61" w:rsidRPr="00760E61">
        <w:rPr>
          <w:b/>
          <w:sz w:val="28"/>
        </w:rPr>
        <w:t xml:space="preserve">Field-Effect Transistor and Impedimetric </w:t>
      </w:r>
      <w:r w:rsidRPr="00760E61">
        <w:rPr>
          <w:b/>
          <w:sz w:val="28"/>
        </w:rPr>
        <w:t xml:space="preserve">In Vitro Biosensing </w:t>
      </w:r>
      <w:r w:rsidR="00760E61" w:rsidRPr="00760E61">
        <w:rPr>
          <w:b/>
          <w:sz w:val="28"/>
        </w:rPr>
        <w:t xml:space="preserve">Platforms </w:t>
      </w:r>
    </w:p>
    <w:p w14:paraId="7E662B12" w14:textId="77777777" w:rsidR="00325004" w:rsidRPr="00A86EB9" w:rsidRDefault="00325004" w:rsidP="00E0716D">
      <w:pPr>
        <w:jc w:val="center"/>
        <w:rPr>
          <w:b/>
          <w:sz w:val="28"/>
        </w:rPr>
      </w:pPr>
    </w:p>
    <w:p w14:paraId="308F532B" w14:textId="36C167EE" w:rsidR="00325004" w:rsidRPr="00A11892" w:rsidRDefault="00245B8B" w:rsidP="00E0716D">
      <w:pPr>
        <w:jc w:val="center"/>
        <w:rPr>
          <w:lang w:val="sr-Latn-RS"/>
        </w:rPr>
      </w:pPr>
      <w:r w:rsidRPr="00A11892">
        <w:rPr>
          <w:u w:val="single"/>
        </w:rPr>
        <w:t>Željko Janićijević</w:t>
      </w:r>
      <w:r w:rsidR="005D6B75" w:rsidRPr="005D6B75">
        <w:rPr>
          <w:u w:val="single"/>
          <w:vertAlign w:val="superscript"/>
        </w:rPr>
        <w:t>1</w:t>
      </w:r>
      <w:r w:rsidR="00A11892" w:rsidRPr="00A11892">
        <w:t>, Trang-Anh Nguyen-Le</w:t>
      </w:r>
      <w:r w:rsidR="005D6B75" w:rsidRPr="005D6B75">
        <w:rPr>
          <w:vertAlign w:val="superscript"/>
        </w:rPr>
        <w:t>1</w:t>
      </w:r>
      <w:r w:rsidR="00A11892" w:rsidRPr="00A11892">
        <w:t>, Nadiia Dav</w:t>
      </w:r>
      <w:r w:rsidR="00A11892">
        <w:t>ydiuk</w:t>
      </w:r>
      <w:r w:rsidR="005D6B75" w:rsidRPr="005D6B75">
        <w:rPr>
          <w:vertAlign w:val="superscript"/>
        </w:rPr>
        <w:t>2</w:t>
      </w:r>
      <w:r w:rsidR="00A11892">
        <w:t>, Isli Cela</w:t>
      </w:r>
      <w:r w:rsidR="005D6B75" w:rsidRPr="005D6B75">
        <w:rPr>
          <w:vertAlign w:val="superscript"/>
        </w:rPr>
        <w:t>1</w:t>
      </w:r>
      <w:r w:rsidR="00A11892">
        <w:t xml:space="preserve">, Bogdana </w:t>
      </w:r>
      <w:r w:rsidR="00A11892">
        <w:rPr>
          <w:lang w:val="sr-Latn-RS"/>
        </w:rPr>
        <w:t>Đorđević</w:t>
      </w:r>
      <w:r w:rsidR="005D6B75" w:rsidRPr="005D6B75">
        <w:rPr>
          <w:vertAlign w:val="superscript"/>
          <w:lang w:val="sr-Latn-RS"/>
        </w:rPr>
        <w:t>1</w:t>
      </w:r>
      <w:r w:rsidR="00A11892">
        <w:rPr>
          <w:lang w:val="sr-Latn-RS"/>
        </w:rPr>
        <w:t>, Quinn A. Besford</w:t>
      </w:r>
      <w:r w:rsidR="005D6B75" w:rsidRPr="005D6B75">
        <w:rPr>
          <w:vertAlign w:val="superscript"/>
          <w:lang w:val="sr-Latn-RS"/>
        </w:rPr>
        <w:t>2</w:t>
      </w:r>
      <w:r w:rsidR="00A11892">
        <w:rPr>
          <w:lang w:val="sr-Latn-RS"/>
        </w:rPr>
        <w:t>, Larysa Baraban</w:t>
      </w:r>
      <w:r w:rsidR="005D6B75" w:rsidRPr="005D6B75">
        <w:rPr>
          <w:vertAlign w:val="superscript"/>
          <w:lang w:val="sr-Latn-RS"/>
        </w:rPr>
        <w:t>1</w:t>
      </w:r>
    </w:p>
    <w:p w14:paraId="05765564" w14:textId="1688B585" w:rsidR="00325004" w:rsidRPr="005D6B75" w:rsidRDefault="005D6B75" w:rsidP="00E0716D">
      <w:pPr>
        <w:jc w:val="center"/>
        <w:rPr>
          <w:i/>
          <w:lang w:val="de-DE"/>
        </w:rPr>
      </w:pPr>
      <w:r w:rsidRPr="005D6B75">
        <w:rPr>
          <w:i/>
          <w:vertAlign w:val="superscript"/>
          <w:lang w:val="sr-Latn-RS"/>
        </w:rPr>
        <w:t>1</w:t>
      </w:r>
      <w:r w:rsidR="00245B8B" w:rsidRPr="005D6B75">
        <w:rPr>
          <w:i/>
          <w:lang w:val="de-DE"/>
        </w:rPr>
        <w:t>Institute of Radiopharmaceutical Cancer Research, Helmholtz-Zentrum Dresden-Rossendorf e</w:t>
      </w:r>
      <w:r w:rsidR="00DF28AD">
        <w:rPr>
          <w:i/>
          <w:lang w:val="de-DE"/>
        </w:rPr>
        <w:t xml:space="preserve">. </w:t>
      </w:r>
      <w:r w:rsidR="00245B8B" w:rsidRPr="005D6B75">
        <w:rPr>
          <w:i/>
          <w:lang w:val="de-DE"/>
        </w:rPr>
        <w:t>V.</w:t>
      </w:r>
      <w:r w:rsidRPr="005D6B75">
        <w:rPr>
          <w:i/>
          <w:lang w:val="de-DE"/>
        </w:rPr>
        <w:t>,</w:t>
      </w:r>
      <w:r>
        <w:rPr>
          <w:i/>
          <w:lang w:val="de-DE"/>
        </w:rPr>
        <w:t xml:space="preserve"> </w:t>
      </w:r>
      <w:r w:rsidRPr="005D6B75">
        <w:rPr>
          <w:i/>
          <w:vertAlign w:val="superscript"/>
          <w:lang w:val="de-DE"/>
        </w:rPr>
        <w:t>2</w:t>
      </w:r>
      <w:r w:rsidRPr="005D6B75">
        <w:rPr>
          <w:i/>
          <w:lang w:val="de-DE"/>
        </w:rPr>
        <w:t>Leibniz-Institut für Polymerforschung Dresden e. V.</w:t>
      </w:r>
    </w:p>
    <w:p w14:paraId="27B69CB8" w14:textId="03014BFF" w:rsidR="00325004" w:rsidRPr="005D6B75" w:rsidRDefault="005D6B75" w:rsidP="005D6B75">
      <w:pPr>
        <w:jc w:val="center"/>
        <w:rPr>
          <w:i/>
          <w:lang w:val="de-DE"/>
        </w:rPr>
      </w:pPr>
      <w:r w:rsidRPr="005D6B75">
        <w:rPr>
          <w:i/>
          <w:vertAlign w:val="superscript"/>
          <w:lang w:val="de-DE"/>
        </w:rPr>
        <w:t>1</w:t>
      </w:r>
      <w:r w:rsidR="00760E61" w:rsidRPr="00760E61">
        <w:rPr>
          <w:i/>
          <w:lang w:val="de-DE"/>
        </w:rPr>
        <w:t>Bautzner Landstraße 400, 01328 Dresden</w:t>
      </w:r>
      <w:r>
        <w:rPr>
          <w:i/>
          <w:lang w:val="de-DE"/>
        </w:rPr>
        <w:t xml:space="preserve">, Germany, </w:t>
      </w:r>
      <w:r w:rsidRPr="005D6B75">
        <w:rPr>
          <w:i/>
          <w:vertAlign w:val="superscript"/>
          <w:lang w:val="de-DE"/>
        </w:rPr>
        <w:t>2</w:t>
      </w:r>
      <w:r w:rsidRPr="005D6B75">
        <w:rPr>
          <w:i/>
          <w:lang w:val="de-DE"/>
        </w:rPr>
        <w:t>Hohe Straße 6</w:t>
      </w:r>
      <w:r>
        <w:rPr>
          <w:i/>
          <w:lang w:val="de-DE"/>
        </w:rPr>
        <w:t xml:space="preserve">, </w:t>
      </w:r>
      <w:r w:rsidRPr="005D6B75">
        <w:rPr>
          <w:i/>
          <w:lang w:val="de-DE"/>
        </w:rPr>
        <w:t>01069 Dresden</w:t>
      </w:r>
      <w:r>
        <w:rPr>
          <w:i/>
          <w:lang w:val="de-DE"/>
        </w:rPr>
        <w:t>, Germany</w:t>
      </w:r>
    </w:p>
    <w:p w14:paraId="23A70BF2" w14:textId="2ACC3854" w:rsidR="00685C1A" w:rsidRPr="00DF28AD" w:rsidRDefault="00760E61" w:rsidP="00E0716D">
      <w:pPr>
        <w:jc w:val="center"/>
        <w:rPr>
          <w:i/>
        </w:rPr>
      </w:pPr>
      <w:r w:rsidRPr="00DF28AD">
        <w:rPr>
          <w:i/>
        </w:rPr>
        <w:t>z.janicijevic@hzdr.de</w:t>
      </w:r>
    </w:p>
    <w:p w14:paraId="5A82193B" w14:textId="77777777" w:rsidR="00325004" w:rsidRPr="00DF28AD" w:rsidRDefault="00325004" w:rsidP="00E0716D">
      <w:pPr>
        <w:jc w:val="center"/>
      </w:pPr>
    </w:p>
    <w:p w14:paraId="7D585302" w14:textId="3873C8BC" w:rsidR="00E016C5" w:rsidRDefault="00E016C5" w:rsidP="00E016C5">
      <w:pPr>
        <w:jc w:val="both"/>
      </w:pPr>
      <w:r>
        <w:t>Point-of-care (PoC) electronic platforms for in vitro biosensing offer transformative potential for screening and monitoring applications in healthcare. The</w:t>
      </w:r>
      <w:r w:rsidR="00200089">
        <w:t xml:space="preserve"> typical aim is to</w:t>
      </w:r>
      <w:r>
        <w:t xml:space="preserve"> design </w:t>
      </w:r>
      <w:r w:rsidR="00200089">
        <w:t xml:space="preserve">such platforms </w:t>
      </w:r>
      <w:r>
        <w:t xml:space="preserve">as highly sensitive, accurate, cost-effective, </w:t>
      </w:r>
      <w:r w:rsidR="00200089">
        <w:t xml:space="preserve">standalone, </w:t>
      </w:r>
      <w:r>
        <w:t xml:space="preserve">and robust measurement systems targeting specific bioanalytes. Due to </w:t>
      </w:r>
      <w:r w:rsidR="00200089">
        <w:t>a substantial increase in medical electronic waste and</w:t>
      </w:r>
      <w:r>
        <w:t xml:space="preserve"> complex biochemical </w:t>
      </w:r>
      <w:r w:rsidR="00200089">
        <w:t>signatures</w:t>
      </w:r>
      <w:r>
        <w:t xml:space="preserve"> of many diseases</w:t>
      </w:r>
      <w:r w:rsidR="00200089">
        <w:t>, current research efforts are shifting toward sustainable multiplexed electronic biosensors capable of measuring defined groups of</w:t>
      </w:r>
      <w:r>
        <w:t xml:space="preserve"> diverse biomarkers. The de</w:t>
      </w:r>
      <w:r w:rsidR="00200089">
        <w:t>velopment</w:t>
      </w:r>
      <w:r>
        <w:t xml:space="preserve"> of </w:t>
      </w:r>
      <w:r w:rsidR="00200089">
        <w:t>these</w:t>
      </w:r>
      <w:r>
        <w:t xml:space="preserve"> biosensing systems often </w:t>
      </w:r>
      <w:r w:rsidR="00EF1F3B">
        <w:t>employs</w:t>
      </w:r>
      <w:r>
        <w:t xml:space="preserve"> complementary electrochemical analysis techniques</w:t>
      </w:r>
      <w:r w:rsidR="00EF1F3B">
        <w:t xml:space="preserve"> to</w:t>
      </w:r>
      <w:r>
        <w:t xml:space="preserve"> monitor different aspects of surface processes</w:t>
      </w:r>
      <w:r w:rsidR="00EF1F3B">
        <w:t>, thereby enabling</w:t>
      </w:r>
      <w:r>
        <w:t xml:space="preserve"> the optimized</w:t>
      </w:r>
      <w:r w:rsidR="00EF1F3B">
        <w:t xml:space="preserve"> coupling of</w:t>
      </w:r>
      <w:r>
        <w:t xml:space="preserve"> dedicated assay</w:t>
      </w:r>
      <w:r w:rsidR="00EF1F3B">
        <w:t>s</w:t>
      </w:r>
      <w:r>
        <w:t xml:space="preserve"> and robust electronic readout </w:t>
      </w:r>
      <w:r w:rsidR="00EF1F3B">
        <w:t>strategies</w:t>
      </w:r>
      <w:r>
        <w:t>.</w:t>
      </w:r>
    </w:p>
    <w:p w14:paraId="0B85880B" w14:textId="77777777" w:rsidR="00E016C5" w:rsidRDefault="00E016C5" w:rsidP="00E016C5">
      <w:pPr>
        <w:jc w:val="both"/>
      </w:pPr>
    </w:p>
    <w:p w14:paraId="40757FB1" w14:textId="1D4AAA0C" w:rsidR="00E016C5" w:rsidRDefault="00E016C5" w:rsidP="00E016C5">
      <w:pPr>
        <w:jc w:val="both"/>
      </w:pPr>
      <w:r w:rsidRPr="00CC31B7">
        <w:t>We focus on potentiometric extended-gate field-effect transistor (EG-FET) and electrochemical impedance spectroscopy (EIS)</w:t>
      </w:r>
      <w:r w:rsidR="00CC31B7">
        <w:t xml:space="preserve"> measurements</w:t>
      </w:r>
      <w:r w:rsidR="00CC31B7" w:rsidRPr="00CC31B7">
        <w:t xml:space="preserve">. </w:t>
      </w:r>
      <w:r w:rsidR="00806793">
        <w:t>Such measurements</w:t>
      </w:r>
      <w:r w:rsidR="00CC31B7" w:rsidRPr="00CC31B7">
        <w:t xml:space="preserve"> can</w:t>
      </w:r>
      <w:r w:rsidRPr="00CC31B7">
        <w:t xml:space="preserve"> </w:t>
      </w:r>
      <w:r w:rsidR="00806793">
        <w:t xml:space="preserve">be used to </w:t>
      </w:r>
      <w:r w:rsidRPr="00CC31B7">
        <w:t xml:space="preserve">non-destructively monitor surface charge distribution and structural changes arising from the interactions with </w:t>
      </w:r>
      <w:r w:rsidR="00EF1F3B" w:rsidRPr="00CC31B7">
        <w:t>different target</w:t>
      </w:r>
      <w:r w:rsidRPr="00CC31B7">
        <w:t xml:space="preserve"> bio</w:t>
      </w:r>
      <w:r w:rsidR="00EF1F3B" w:rsidRPr="00CC31B7">
        <w:t>molecules</w:t>
      </w:r>
      <w:r w:rsidRPr="00CC31B7">
        <w:t>.</w:t>
      </w:r>
      <w:r>
        <w:t xml:space="preserve"> These electrochemica</w:t>
      </w:r>
      <w:r w:rsidR="00EF1F3B">
        <w:t>l</w:t>
      </w:r>
      <w:r>
        <w:t xml:space="preserve"> techniques </w:t>
      </w:r>
      <w:r w:rsidR="00EF1F3B">
        <w:t xml:space="preserve">are highly sensitive and </w:t>
      </w:r>
      <w:r>
        <w:t xml:space="preserve">can be configured in a modular format </w:t>
      </w:r>
      <w:r w:rsidR="00EF1F3B">
        <w:t>comprising</w:t>
      </w:r>
      <w:r>
        <w:t xml:space="preserve"> disposable sensing elements and reusable supporting electronics,</w:t>
      </w:r>
      <w:r w:rsidR="00EF1F3B">
        <w:t xml:space="preserve"> opening</w:t>
      </w:r>
      <w:r w:rsidR="0085389B">
        <w:t xml:space="preserve"> </w:t>
      </w:r>
      <w:r w:rsidR="00EF1F3B">
        <w:t>routes toward sustainable biosensor implementations</w:t>
      </w:r>
      <w:r>
        <w:t>.</w:t>
      </w:r>
    </w:p>
    <w:p w14:paraId="2B21213E" w14:textId="77777777" w:rsidR="00E016C5" w:rsidRDefault="00E016C5" w:rsidP="00E016C5">
      <w:pPr>
        <w:jc w:val="both"/>
      </w:pPr>
    </w:p>
    <w:p w14:paraId="76B08ED3" w14:textId="4DD8B95F" w:rsidR="00E016C5" w:rsidRPr="00A11892" w:rsidRDefault="00806793" w:rsidP="00E016C5">
      <w:pPr>
        <w:jc w:val="both"/>
      </w:pPr>
      <w:r>
        <w:t xml:space="preserve">The </w:t>
      </w:r>
      <w:r w:rsidR="00E016C5" w:rsidRPr="00CC31B7">
        <w:t>EG-FET configuration enables physical separation of the sensing interface from the FET transducer</w:t>
      </w:r>
      <w:r w:rsidR="00CC31B7" w:rsidRPr="00CC31B7">
        <w:t>.</w:t>
      </w:r>
      <w:r w:rsidR="00E016C5" w:rsidRPr="00CC31B7">
        <w:t xml:space="preserve"> </w:t>
      </w:r>
      <w:r w:rsidR="00CC31B7" w:rsidRPr="00CC31B7">
        <w:t xml:space="preserve">This </w:t>
      </w:r>
      <w:r w:rsidR="00E016C5" w:rsidRPr="00CC31B7">
        <w:t>allow</w:t>
      </w:r>
      <w:r w:rsidR="00CC31B7" w:rsidRPr="00CC31B7">
        <w:t>s</w:t>
      </w:r>
      <w:r w:rsidR="00E016C5" w:rsidRPr="00CC31B7">
        <w:t xml:space="preserve"> the </w:t>
      </w:r>
      <w:r w:rsidR="00CC31B7" w:rsidRPr="00CC31B7">
        <w:t>use</w:t>
      </w:r>
      <w:r w:rsidR="00E016C5" w:rsidRPr="00CC31B7">
        <w:t xml:space="preserve"> of disposable </w:t>
      </w:r>
      <w:r w:rsidR="00CC31B7" w:rsidRPr="00CC31B7">
        <w:t xml:space="preserve">sensing </w:t>
      </w:r>
      <w:r w:rsidR="00E016C5" w:rsidRPr="00CC31B7">
        <w:t>chips</w:t>
      </w:r>
      <w:r w:rsidR="00CC31B7" w:rsidRPr="00CC31B7">
        <w:t xml:space="preserve"> comprising</w:t>
      </w:r>
      <w:r w:rsidR="00E016C5" w:rsidRPr="00CC31B7">
        <w:t xml:space="preserve"> an array of</w:t>
      </w:r>
      <w:r w:rsidR="00EF1F3B" w:rsidRPr="00CC31B7">
        <w:t xml:space="preserve"> </w:t>
      </w:r>
      <w:r w:rsidR="00E016C5" w:rsidRPr="00CC31B7">
        <w:t xml:space="preserve">EG electrodes </w:t>
      </w:r>
      <w:r w:rsidR="00CC31B7" w:rsidRPr="00CC31B7">
        <w:t xml:space="preserve">functionalized </w:t>
      </w:r>
      <w:r w:rsidR="00E016C5" w:rsidRPr="00CC31B7">
        <w:t xml:space="preserve">for specific analyte detection </w:t>
      </w:r>
      <w:r w:rsidR="00EF1F3B" w:rsidRPr="00CC31B7">
        <w:t>and facilitat</w:t>
      </w:r>
      <w:r w:rsidR="00CC31B7" w:rsidRPr="00CC31B7">
        <w:t>es</w:t>
      </w:r>
      <w:r w:rsidR="00EF1F3B" w:rsidRPr="00CC31B7">
        <w:t xml:space="preserve"> </w:t>
      </w:r>
      <w:r w:rsidR="00E016C5" w:rsidRPr="00CC31B7">
        <w:t>coupl</w:t>
      </w:r>
      <w:r w:rsidR="00EF1F3B" w:rsidRPr="00CC31B7">
        <w:t>ing</w:t>
      </w:r>
      <w:r w:rsidR="00E016C5" w:rsidRPr="00CC31B7">
        <w:t xml:space="preserve"> with reusable </w:t>
      </w:r>
      <w:r w:rsidR="00EF1F3B" w:rsidRPr="00CC31B7">
        <w:t xml:space="preserve">multiplexed </w:t>
      </w:r>
      <w:r w:rsidR="00E016C5" w:rsidRPr="00CC31B7">
        <w:t>measurement electronics.</w:t>
      </w:r>
      <w:r w:rsidR="005D6B75">
        <w:t xml:space="preserve"> </w:t>
      </w:r>
      <w:r w:rsidR="00E016C5">
        <w:t xml:space="preserve">We </w:t>
      </w:r>
      <w:r w:rsidR="00F56E5F">
        <w:t>developed</w:t>
      </w:r>
      <w:r w:rsidR="00E016C5">
        <w:t xml:space="preserve"> </w:t>
      </w:r>
      <w:r>
        <w:t>a</w:t>
      </w:r>
      <w:r w:rsidR="00E016C5">
        <w:t xml:space="preserve"> cost-effective, </w:t>
      </w:r>
      <w:r w:rsidR="00C94F6C">
        <w:t>standalone</w:t>
      </w:r>
      <w:r w:rsidR="00E016C5">
        <w:t xml:space="preserve">, and multiplexed potentiometric </w:t>
      </w:r>
      <w:r w:rsidR="00F56E5F">
        <w:t>platform</w:t>
      </w:r>
      <w:r w:rsidR="00E016C5">
        <w:t xml:space="preserve"> </w:t>
      </w:r>
      <w:r w:rsidR="00F56E5F">
        <w:t xml:space="preserve">by </w:t>
      </w:r>
      <w:r w:rsidR="00E016C5">
        <w:t xml:space="preserve">operating the commercial FET transducer in constant charge mode compatible with </w:t>
      </w:r>
      <w:r w:rsidR="00C94F6C">
        <w:t xml:space="preserve">real-time readout using </w:t>
      </w:r>
      <w:r w:rsidR="00F56E5F">
        <w:t>customized</w:t>
      </w:r>
      <w:r w:rsidR="00E016C5">
        <w:t xml:space="preserve"> electronics</w:t>
      </w:r>
      <w:r w:rsidR="00C94F6C">
        <w:t xml:space="preserve"> </w:t>
      </w:r>
      <w:r>
        <w:t>that relies</w:t>
      </w:r>
      <w:r w:rsidR="00F56E5F">
        <w:t xml:space="preserve"> only on</w:t>
      </w:r>
      <w:r w:rsidR="00C94F6C">
        <w:t xml:space="preserve"> off-the-shelf components</w:t>
      </w:r>
      <w:r w:rsidR="00E016C5">
        <w:t>.</w:t>
      </w:r>
      <w:r w:rsidR="005D6B75">
        <w:rPr>
          <w:vertAlign w:val="superscript"/>
        </w:rPr>
        <w:t>1</w:t>
      </w:r>
      <w:r w:rsidR="00E016C5">
        <w:t xml:space="preserve"> </w:t>
      </w:r>
      <w:r w:rsidR="00F56E5F">
        <w:t>This platform,</w:t>
      </w:r>
      <w:r w:rsidR="00E016C5">
        <w:t xml:space="preserve"> combined with </w:t>
      </w:r>
      <w:r w:rsidR="00F56E5F">
        <w:t>dedicated</w:t>
      </w:r>
      <w:r w:rsidR="00E016C5">
        <w:t xml:space="preserve"> assay design </w:t>
      </w:r>
      <w:r w:rsidR="00F56E5F">
        <w:t>based</w:t>
      </w:r>
      <w:r w:rsidR="00E016C5">
        <w:t xml:space="preserve"> on </w:t>
      </w:r>
      <w:r w:rsidR="00F56E5F">
        <w:t>gold nanoparticle-induced signal amplification</w:t>
      </w:r>
      <w:r w:rsidR="005D6B75">
        <w:rPr>
          <w:vertAlign w:val="superscript"/>
        </w:rPr>
        <w:t>1</w:t>
      </w:r>
      <w:r w:rsidR="00F56E5F" w:rsidRPr="00F56E5F">
        <w:t xml:space="preserve"> </w:t>
      </w:r>
      <w:r w:rsidR="00F56E5F">
        <w:t xml:space="preserve">or </w:t>
      </w:r>
      <w:r w:rsidR="00E016C5">
        <w:t>spatial confinement of biochemical binding events near the electrode surface</w:t>
      </w:r>
      <w:r w:rsidR="000F5A6E">
        <w:t>,</w:t>
      </w:r>
      <w:r w:rsidR="005D6B75">
        <w:rPr>
          <w:vertAlign w:val="superscript"/>
        </w:rPr>
        <w:t>2</w:t>
      </w:r>
      <w:r w:rsidR="00F56E5F">
        <w:t xml:space="preserve"> enabled us</w:t>
      </w:r>
      <w:r w:rsidR="00E016C5">
        <w:t xml:space="preserve"> to detect diverse</w:t>
      </w:r>
      <w:r w:rsidR="00F56E5F">
        <w:t xml:space="preserve"> clinically relevant</w:t>
      </w:r>
      <w:r w:rsidR="00E016C5">
        <w:t xml:space="preserve"> biomolecules, such as antibodies, small proteins, and nucleic acids.</w:t>
      </w:r>
      <w:r w:rsidR="000F5A6E">
        <w:t xml:space="preserve"> </w:t>
      </w:r>
      <w:r w:rsidR="00E016C5">
        <w:t>To support the reduction of electronic waste, we developed rigid degradable substrates with low surface roughness (&lt;1 μm) by synthesizing composites of polycaprolactone, polylactide, and CaCO</w:t>
      </w:r>
      <w:r w:rsidR="00E016C5" w:rsidRPr="00EE6D3F">
        <w:rPr>
          <w:vertAlign w:val="subscript"/>
        </w:rPr>
        <w:t>3</w:t>
      </w:r>
      <w:r w:rsidR="00E016C5">
        <w:t xml:space="preserve"> nanoparticle fillers. These substrates are compatible with printing and sputter deposition of electrodes, enabling the formation of disposable</w:t>
      </w:r>
      <w:r w:rsidR="000F5A6E">
        <w:t xml:space="preserve"> EG</w:t>
      </w:r>
      <w:r w:rsidR="00E016C5">
        <w:t xml:space="preserve"> electrode arrays.</w:t>
      </w:r>
    </w:p>
    <w:p w14:paraId="284BD318" w14:textId="77777777" w:rsidR="00E016C5" w:rsidRDefault="00E016C5" w:rsidP="00E016C5">
      <w:pPr>
        <w:jc w:val="both"/>
      </w:pPr>
    </w:p>
    <w:p w14:paraId="6E643993" w14:textId="1FFCF702" w:rsidR="00E016C5" w:rsidRDefault="00572C38" w:rsidP="00E016C5">
      <w:pPr>
        <w:jc w:val="both"/>
      </w:pPr>
      <w:r>
        <w:t xml:space="preserve">EIS is a powerful technique for studying structural changes of surface coatings, particularly effective for cross-validation of electrode surface functionalization and </w:t>
      </w:r>
      <w:r w:rsidR="00012F1A">
        <w:t>modification</w:t>
      </w:r>
      <w:r>
        <w:t xml:space="preserve">. </w:t>
      </w:r>
      <w:r w:rsidR="00012F1A">
        <w:t>Driven by</w:t>
      </w:r>
      <w:r>
        <w:t xml:space="preserve"> </w:t>
      </w:r>
      <w:r w:rsidR="00012F1A">
        <w:t>the cap</w:t>
      </w:r>
      <w:r>
        <w:t>ability</w:t>
      </w:r>
      <w:r w:rsidR="00012F1A">
        <w:t xml:space="preserve"> of EIS</w:t>
      </w:r>
      <w:r>
        <w:t xml:space="preserve"> to </w:t>
      </w:r>
      <w:r w:rsidR="00012F1A">
        <w:t>analyze</w:t>
      </w:r>
      <w:r>
        <w:t xml:space="preserve"> fine structural alterations of s</w:t>
      </w:r>
      <w:r w:rsidR="00012F1A">
        <w:t>urface layers and the goal to minimize electronic waste</w:t>
      </w:r>
      <w:r w:rsidR="00E016C5">
        <w:t>, we designed a fully degradable impedimetric biosensor for the robust detection of α-amylase in a broad</w:t>
      </w:r>
      <w:r w:rsidR="00EE6D3F">
        <w:t xml:space="preserve"> </w:t>
      </w:r>
      <w:r w:rsidR="00E016C5">
        <w:t>concentration range (10</w:t>
      </w:r>
      <w:r w:rsidR="00E016C5" w:rsidRPr="00012F1A">
        <w:rPr>
          <w:vertAlign w:val="superscript"/>
        </w:rPr>
        <w:t>1</w:t>
      </w:r>
      <w:r w:rsidR="00E016C5">
        <w:t>–10</w:t>
      </w:r>
      <w:r w:rsidR="00E016C5" w:rsidRPr="00012F1A">
        <w:rPr>
          <w:vertAlign w:val="superscript"/>
        </w:rPr>
        <w:t>5</w:t>
      </w:r>
      <w:r w:rsidR="00E016C5">
        <w:t xml:space="preserve"> U/L)</w:t>
      </w:r>
      <w:r w:rsidR="00EC0FAD">
        <w:t>. The detection mechanism relies</w:t>
      </w:r>
      <w:r w:rsidR="00E016C5">
        <w:t xml:space="preserve"> on the tailored</w:t>
      </w:r>
      <w:r w:rsidR="00182FAF">
        <w:t xml:space="preserve"> enzymatic</w:t>
      </w:r>
      <w:r w:rsidR="00E016C5">
        <w:t xml:space="preserve"> degradation</w:t>
      </w:r>
      <w:r w:rsidR="00EC0FAD">
        <w:t xml:space="preserve"> profile</w:t>
      </w:r>
      <w:r w:rsidR="00E016C5">
        <w:t xml:space="preserve"> of the glycogen-based hydrogel coating </w:t>
      </w:r>
      <w:r w:rsidR="00EC0FAD">
        <w:t xml:space="preserve">with multilayered architecture </w:t>
      </w:r>
      <w:r w:rsidR="00E016C5">
        <w:t>attached to the surface of molybdenum/polycaprolactone composite electrodes.</w:t>
      </w:r>
      <w:r w:rsidR="00EC0FAD">
        <w:t xml:space="preserve"> </w:t>
      </w:r>
      <w:r w:rsidR="00E016C5">
        <w:t>Controlled degradation of the hydrogel enables simplified sensor calibration based on resistive or capacitive impedimetric response contributions, allowing for cost-effective and portable biosensor design</w:t>
      </w:r>
      <w:r w:rsidR="00012F1A">
        <w:t xml:space="preserve"> </w:t>
      </w:r>
      <w:r w:rsidR="00182FAF">
        <w:t>using</w:t>
      </w:r>
      <w:r w:rsidR="00012F1A">
        <w:t xml:space="preserve"> selected frequencies of AC signals</w:t>
      </w:r>
      <w:r w:rsidR="00E016C5">
        <w:t>.</w:t>
      </w:r>
    </w:p>
    <w:p w14:paraId="6AAB07E3" w14:textId="77777777" w:rsidR="00E016C5" w:rsidRDefault="00E016C5" w:rsidP="00E016C5">
      <w:pPr>
        <w:jc w:val="both"/>
      </w:pPr>
    </w:p>
    <w:p w14:paraId="19BC5F90" w14:textId="58B7F4D6" w:rsidR="00EE6D3F" w:rsidRDefault="00E016C5" w:rsidP="00E016C5">
      <w:pPr>
        <w:jc w:val="both"/>
      </w:pPr>
      <w:r>
        <w:t xml:space="preserve">Our platform </w:t>
      </w:r>
      <w:r w:rsidR="00EC0FAD">
        <w:t>design routes</w:t>
      </w:r>
      <w:r>
        <w:t xml:space="preserve"> </w:t>
      </w:r>
      <w:r w:rsidR="000F5A6E">
        <w:t>unlock opportunities to</w:t>
      </w:r>
      <w:r>
        <w:t xml:space="preserve"> creat</w:t>
      </w:r>
      <w:r w:rsidR="000F5A6E">
        <w:t>e</w:t>
      </w:r>
      <w:r>
        <w:t xml:space="preserve"> cost-effective and sustainable electronic biosensing systems</w:t>
      </w:r>
      <w:r w:rsidR="000F5A6E">
        <w:t xml:space="preserve"> that</w:t>
      </w:r>
      <w:r>
        <w:t xml:space="preserve"> integrat</w:t>
      </w:r>
      <w:r w:rsidR="000F5A6E">
        <w:t>e</w:t>
      </w:r>
      <w:r>
        <w:t xml:space="preserve"> complementary electrochemical techniques </w:t>
      </w:r>
      <w:r w:rsidR="000F5A6E">
        <w:t>with</w:t>
      </w:r>
      <w:r>
        <w:t xml:space="preserve"> multiplexed </w:t>
      </w:r>
      <w:r w:rsidR="00012F1A">
        <w:t>measurements and</w:t>
      </w:r>
      <w:r w:rsidR="00572C38">
        <w:t xml:space="preserve"> thus</w:t>
      </w:r>
      <w:r>
        <w:t xml:space="preserve"> </w:t>
      </w:r>
      <w:r w:rsidR="00572C38">
        <w:t>enable robust simultaneous analysis</w:t>
      </w:r>
      <w:r>
        <w:t xml:space="preserve"> </w:t>
      </w:r>
      <w:r w:rsidR="00572C38">
        <w:t xml:space="preserve">of </w:t>
      </w:r>
      <w:r>
        <w:t>diverse</w:t>
      </w:r>
      <w:r w:rsidR="00572C38">
        <w:t xml:space="preserve"> medically relevant</w:t>
      </w:r>
      <w:r>
        <w:t xml:space="preserve"> analyte</w:t>
      </w:r>
      <w:r w:rsidR="00572C38">
        <w:t>s</w:t>
      </w:r>
      <w:r>
        <w:t xml:space="preserve">. </w:t>
      </w:r>
    </w:p>
    <w:p w14:paraId="37436142" w14:textId="77777777" w:rsidR="00EE6D3F" w:rsidRDefault="00EE6D3F" w:rsidP="00E016C5">
      <w:pPr>
        <w:jc w:val="both"/>
      </w:pPr>
    </w:p>
    <w:p w14:paraId="5548A6DA" w14:textId="6E551968" w:rsidR="00EE6D3F" w:rsidRDefault="00C94F6C" w:rsidP="00E016C5">
      <w:pPr>
        <w:jc w:val="both"/>
      </w:pPr>
      <w:r>
        <w:t>References</w:t>
      </w:r>
    </w:p>
    <w:p w14:paraId="4D433F5E" w14:textId="1E36016A" w:rsidR="00C94F6C" w:rsidRDefault="005D6B75" w:rsidP="00E016C5">
      <w:pPr>
        <w:jc w:val="both"/>
      </w:pPr>
      <w:r>
        <w:t>1</w:t>
      </w:r>
      <w:r w:rsidR="00F56E5F" w:rsidRPr="00F56E5F">
        <w:t>. Ž. Janićijević et al., Biosensors and Bioelectronics, 241, 115701 (2023).</w:t>
      </w:r>
    </w:p>
    <w:p w14:paraId="061887B0" w14:textId="0C8274EF" w:rsidR="00E0716D" w:rsidRDefault="005D6B75" w:rsidP="00E0716D">
      <w:pPr>
        <w:jc w:val="both"/>
      </w:pPr>
      <w:r>
        <w:t>2</w:t>
      </w:r>
      <w:r w:rsidR="000F5A6E" w:rsidRPr="000F5A6E">
        <w:t>. T.-A. Nguyen-Le et al., Small Science, 5, 2400515 (2025).</w:t>
      </w:r>
    </w:p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2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004"/>
    <w:rsid w:val="00012F1A"/>
    <w:rsid w:val="00041EFD"/>
    <w:rsid w:val="000F5A6E"/>
    <w:rsid w:val="00124660"/>
    <w:rsid w:val="00182FAF"/>
    <w:rsid w:val="00200089"/>
    <w:rsid w:val="00245B8B"/>
    <w:rsid w:val="00292DEF"/>
    <w:rsid w:val="00325004"/>
    <w:rsid w:val="003265FA"/>
    <w:rsid w:val="00441412"/>
    <w:rsid w:val="00536366"/>
    <w:rsid w:val="00572014"/>
    <w:rsid w:val="00572C38"/>
    <w:rsid w:val="005D6B75"/>
    <w:rsid w:val="005E39DB"/>
    <w:rsid w:val="00601064"/>
    <w:rsid w:val="00685C1A"/>
    <w:rsid w:val="00760E61"/>
    <w:rsid w:val="00806793"/>
    <w:rsid w:val="00817F5C"/>
    <w:rsid w:val="0085389B"/>
    <w:rsid w:val="0087763B"/>
    <w:rsid w:val="00921F1C"/>
    <w:rsid w:val="00952D96"/>
    <w:rsid w:val="00A11892"/>
    <w:rsid w:val="00AF445E"/>
    <w:rsid w:val="00B3349B"/>
    <w:rsid w:val="00C76F8D"/>
    <w:rsid w:val="00C94F6C"/>
    <w:rsid w:val="00CC31B7"/>
    <w:rsid w:val="00CC7BCF"/>
    <w:rsid w:val="00DB266F"/>
    <w:rsid w:val="00DF28AD"/>
    <w:rsid w:val="00E016C5"/>
    <w:rsid w:val="00E0716D"/>
    <w:rsid w:val="00EC0FAD"/>
    <w:rsid w:val="00EE6D3F"/>
    <w:rsid w:val="00EF1F3B"/>
    <w:rsid w:val="00F56E5F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776F3F"/>
  <w14:defaultImageDpi w14:val="300"/>
  <w15:docId w15:val="{AF7F1D15-9FCC-4228-A217-06167CDC5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616</Words>
  <Characters>3882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Zeljko Janicijevic</cp:lastModifiedBy>
  <cp:revision>4</cp:revision>
  <cp:lastPrinted>2013-10-21T12:07:00Z</cp:lastPrinted>
  <dcterms:created xsi:type="dcterms:W3CDTF">2026-05-30T17:12:00Z</dcterms:created>
  <dcterms:modified xsi:type="dcterms:W3CDTF">2026-05-30T17:34:00Z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b4b329af-5651-4feb-9641-821a0f8667e7</vt:lpwstr>
  </property>
</Properties>
</file>