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F2B8C" w14:textId="1CDD2C5A" w:rsidR="00325004" w:rsidRPr="000C09EA" w:rsidRDefault="000C09EA" w:rsidP="00E0716D">
      <w:pPr>
        <w:jc w:val="center"/>
        <w:rPr>
          <w:b/>
          <w:sz w:val="28"/>
        </w:rPr>
      </w:pPr>
      <w:r>
        <w:rPr>
          <w:b/>
          <w:sz w:val="28"/>
        </w:rPr>
        <w:t xml:space="preserve">How high-throughput x-ray characterization </w:t>
      </w:r>
      <w:r w:rsidR="00BD3450">
        <w:rPr>
          <w:b/>
          <w:sz w:val="28"/>
        </w:rPr>
        <w:t>could</w:t>
      </w:r>
      <w:r w:rsidR="00CA3152">
        <w:rPr>
          <w:b/>
          <w:sz w:val="28"/>
        </w:rPr>
        <w:t xml:space="preserve"> solve </w:t>
      </w:r>
      <w:r>
        <w:rPr>
          <w:b/>
          <w:sz w:val="28"/>
        </w:rPr>
        <w:t>the dynamic strain in IrO</w:t>
      </w:r>
      <w:r w:rsidRPr="000C09EA">
        <w:rPr>
          <w:b/>
          <w:sz w:val="28"/>
          <w:vertAlign w:val="subscript"/>
        </w:rPr>
        <w:t>2</w:t>
      </w:r>
      <w:r>
        <w:rPr>
          <w:b/>
          <w:sz w:val="28"/>
        </w:rPr>
        <w:t xml:space="preserve"> based electrode for oxygen evolution reaction</w:t>
      </w:r>
    </w:p>
    <w:p w14:paraId="43D65414" w14:textId="77777777" w:rsidR="00325004" w:rsidRPr="00A86EB9" w:rsidRDefault="00325004" w:rsidP="00E0716D">
      <w:pPr>
        <w:jc w:val="center"/>
        <w:rPr>
          <w:b/>
          <w:sz w:val="28"/>
        </w:rPr>
      </w:pPr>
    </w:p>
    <w:p w14:paraId="10646247" w14:textId="7E3A3728" w:rsidR="00325004" w:rsidRDefault="00F91DFE" w:rsidP="00E0716D">
      <w:pPr>
        <w:jc w:val="center"/>
      </w:pPr>
      <w:r>
        <w:rPr>
          <w:u w:val="single"/>
        </w:rPr>
        <w:t>Florian Chabot</w:t>
      </w:r>
      <w:r w:rsidRPr="00F91DFE">
        <w:rPr>
          <w:u w:val="single"/>
          <w:vertAlign w:val="superscript"/>
        </w:rPr>
        <w:t>a</w:t>
      </w:r>
      <w:r w:rsidR="00325004">
        <w:t xml:space="preserve">, </w:t>
      </w:r>
      <w:r>
        <w:t>Jack T. Lang</w:t>
      </w:r>
      <w:r w:rsidRPr="00F91DFE">
        <w:rPr>
          <w:vertAlign w:val="superscript"/>
        </w:rPr>
        <w:t>b</w:t>
      </w:r>
      <w:r>
        <w:t xml:space="preserve">, </w:t>
      </w:r>
      <w:r w:rsidRPr="00F91DFE">
        <w:t>Hridya Nedumkulam</w:t>
      </w:r>
      <w:r w:rsidR="00530C51">
        <w:rPr>
          <w:vertAlign w:val="superscript"/>
        </w:rPr>
        <w:t>c</w:t>
      </w:r>
      <w:r>
        <w:t>, Iryna V. Zenyuk</w:t>
      </w:r>
      <w:r w:rsidRPr="00F91DFE">
        <w:rPr>
          <w:vertAlign w:val="superscript"/>
        </w:rPr>
        <w:t>b</w:t>
      </w:r>
      <w:r>
        <w:t>, Jakub Drnec</w:t>
      </w:r>
      <w:r>
        <w:rPr>
          <w:vertAlign w:val="superscript"/>
        </w:rPr>
        <w:t>a</w:t>
      </w:r>
    </w:p>
    <w:p w14:paraId="56AE426F" w14:textId="71534037" w:rsidR="00F91DFE" w:rsidRPr="00E252F7" w:rsidRDefault="00F91DFE" w:rsidP="00E252F7">
      <w:pPr>
        <w:pStyle w:val="ListParagraph"/>
        <w:numPr>
          <w:ilvl w:val="0"/>
          <w:numId w:val="1"/>
        </w:numPr>
        <w:rPr>
          <w:i/>
          <w:iCs/>
        </w:rPr>
      </w:pPr>
      <w:r w:rsidRPr="00E252F7">
        <w:rPr>
          <w:i/>
          <w:iCs/>
        </w:rPr>
        <w:t>European Synchrotron Radiation Facility, 38000 Grenoble, France</w:t>
      </w:r>
    </w:p>
    <w:p w14:paraId="0AEB0F1E" w14:textId="3D1DA235" w:rsidR="00E252F7" w:rsidRDefault="00E252F7" w:rsidP="00E252F7">
      <w:pPr>
        <w:pStyle w:val="ListParagraph"/>
        <w:numPr>
          <w:ilvl w:val="0"/>
          <w:numId w:val="1"/>
        </w:numPr>
        <w:rPr>
          <w:i/>
          <w:iCs/>
        </w:rPr>
      </w:pPr>
      <w:r w:rsidRPr="00E252F7">
        <w:rPr>
          <w:i/>
          <w:iCs/>
        </w:rPr>
        <w:t>Department of Chemical and Biomolecular Engineering, University of California, Irvine, CA 92697, USA</w:t>
      </w:r>
    </w:p>
    <w:p w14:paraId="62DCA9FD" w14:textId="631D9599" w:rsidR="00530C51" w:rsidRPr="00530C51" w:rsidRDefault="00530C51" w:rsidP="00530C51">
      <w:pPr>
        <w:pStyle w:val="ListParagraph"/>
        <w:numPr>
          <w:ilvl w:val="0"/>
          <w:numId w:val="1"/>
        </w:numPr>
        <w:rPr>
          <w:i/>
          <w:iCs/>
        </w:rPr>
      </w:pPr>
      <w:r w:rsidRPr="00530C51">
        <w:rPr>
          <w:i/>
          <w:iCs/>
        </w:rPr>
        <w:t>Faculty of Mathematics and Physics, Department of Surface and Plasma Science, Charles</w:t>
      </w:r>
      <w:r>
        <w:rPr>
          <w:i/>
          <w:iCs/>
        </w:rPr>
        <w:t xml:space="preserve"> </w:t>
      </w:r>
      <w:r w:rsidRPr="00530C51">
        <w:rPr>
          <w:i/>
          <w:iCs/>
        </w:rPr>
        <w:t>University, V Holešovičkách 2, Prague, 180 00 Czech Republic</w:t>
      </w:r>
    </w:p>
    <w:p w14:paraId="75B2C344" w14:textId="32B90D47" w:rsidR="00685C1A" w:rsidRPr="00685C1A" w:rsidRDefault="00E252F7" w:rsidP="008E5649">
      <w:pPr>
        <w:rPr>
          <w:i/>
        </w:rPr>
      </w:pPr>
      <w:r w:rsidRPr="00E252F7">
        <w:rPr>
          <w:i/>
          <w:iCs/>
        </w:rPr>
        <w:t xml:space="preserve">e-mail address: </w:t>
      </w:r>
      <w:r>
        <w:rPr>
          <w:i/>
          <w:iCs/>
        </w:rPr>
        <w:t>fchabot@esrf.fr</w:t>
      </w:r>
    </w:p>
    <w:p w14:paraId="65F9FAF1" w14:textId="77777777" w:rsidR="00325004" w:rsidRDefault="00325004" w:rsidP="00E0716D">
      <w:pPr>
        <w:jc w:val="center"/>
      </w:pPr>
    </w:p>
    <w:p w14:paraId="5415119E" w14:textId="6C086669" w:rsidR="00F91DFE" w:rsidRPr="00CA44DF" w:rsidRDefault="0030367E" w:rsidP="00E0716D">
      <w:pPr>
        <w:jc w:val="both"/>
      </w:pPr>
      <w:r>
        <w:rPr>
          <w:noProof/>
        </w:rPr>
        <w:drawing>
          <wp:anchor distT="0" distB="0" distL="114300" distR="114300" simplePos="0" relativeHeight="251659264" behindDoc="0" locked="0" layoutInCell="1" allowOverlap="1" wp14:anchorId="3F2B93C0" wp14:editId="5FE8BDC2">
            <wp:simplePos x="0" y="0"/>
            <wp:positionH relativeFrom="column">
              <wp:posOffset>-1270</wp:posOffset>
            </wp:positionH>
            <wp:positionV relativeFrom="paragraph">
              <wp:posOffset>1697355</wp:posOffset>
            </wp:positionV>
            <wp:extent cx="3248660" cy="26231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8660" cy="2623185"/>
                    </a:xfrm>
                    <a:prstGeom prst="rect">
                      <a:avLst/>
                    </a:prstGeom>
                    <a:noFill/>
                  </pic:spPr>
                </pic:pic>
              </a:graphicData>
            </a:graphic>
            <wp14:sizeRelH relativeFrom="margin">
              <wp14:pctWidth>0</wp14:pctWidth>
            </wp14:sizeRelH>
            <wp14:sizeRelV relativeFrom="margin">
              <wp14:pctHeight>0</wp14:pctHeight>
            </wp14:sizeRelV>
          </wp:anchor>
        </w:drawing>
      </w:r>
      <w:r w:rsidRPr="0030367E">
        <w:rPr>
          <w:noProof/>
        </w:rPr>
        <w:t>World production of hydrogen still relies on the use of fossil fuels and generates around 980 Mt of CO₂ every year</w:t>
      </w:r>
      <w:r w:rsidR="00E252F7" w:rsidRPr="00505710">
        <w:rPr>
          <w:rStyle w:val="FootnoteReference"/>
        </w:rPr>
        <w:footnoteReference w:id="1"/>
      </w:r>
      <w:r>
        <w:rPr>
          <w:noProof/>
        </w:rPr>
        <w:t xml:space="preserve">. </w:t>
      </w:r>
      <w:r w:rsidRPr="0030367E">
        <w:rPr>
          <w:noProof/>
        </w:rPr>
        <w:t>However, coupling water electrolysis with a clean source of electricity could generate the necessary hydrogen without emitting CO₂</w:t>
      </w:r>
      <w:r w:rsidR="001779C8">
        <w:t xml:space="preserve">. </w:t>
      </w:r>
      <w:r w:rsidRPr="0030367E">
        <w:t xml:space="preserve">Of the various available technologies, the proton exchange membrane water electrolyser (PEMWE) </w:t>
      </w:r>
      <w:r w:rsidR="001779C8">
        <w:t xml:space="preserve">is </w:t>
      </w:r>
      <w:r>
        <w:t>one of the best available solution due to its</w:t>
      </w:r>
      <w:r w:rsidR="001779C8">
        <w:t xml:space="preserve"> </w:t>
      </w:r>
      <w:r w:rsidR="001779C8" w:rsidRPr="001779C8">
        <w:t>high specific power</w:t>
      </w:r>
      <w:r w:rsidR="001779C8">
        <w:t xml:space="preserve"> and ability to</w:t>
      </w:r>
      <w:r w:rsidR="001779C8" w:rsidRPr="001779C8">
        <w:t xml:space="preserve"> operate at high current density and under fluctuating condition</w:t>
      </w:r>
      <w:r>
        <w:t>s</w:t>
      </w:r>
      <w:r w:rsidR="001779C8" w:rsidRPr="00505710">
        <w:rPr>
          <w:rStyle w:val="FootnoteReference"/>
        </w:rPr>
        <w:footnoteReference w:id="2"/>
      </w:r>
      <w:r w:rsidR="001779C8" w:rsidRPr="001779C8">
        <w:t xml:space="preserve">. </w:t>
      </w:r>
      <w:r w:rsidR="001167D2" w:rsidRPr="001167D2">
        <w:t>However, large-scale green hydrogen production remains limited by its high cost</w:t>
      </w:r>
      <w:r w:rsidR="001779C8" w:rsidRPr="00505710">
        <w:rPr>
          <w:rStyle w:val="FootnoteReference"/>
        </w:rPr>
        <w:footnoteReference w:id="3"/>
      </w:r>
      <w:r w:rsidR="001779C8">
        <w:t>.  At the heart of the PEMWE operation, the anode catalyst</w:t>
      </w:r>
      <w:r w:rsidR="00CA44DF">
        <w:t xml:space="preserve">, which is </w:t>
      </w:r>
      <w:r w:rsidR="001167D2">
        <w:t>made</w:t>
      </w:r>
      <w:r w:rsidR="001779C8">
        <w:t xml:space="preserve"> of IrO</w:t>
      </w:r>
      <w:r w:rsidR="001779C8" w:rsidRPr="001779C8">
        <w:rPr>
          <w:vertAlign w:val="subscript"/>
        </w:rPr>
        <w:t>2</w:t>
      </w:r>
      <w:r w:rsidR="00CA44DF">
        <w:t xml:space="preserve"> rutile</w:t>
      </w:r>
      <w:r w:rsidR="001779C8">
        <w:t xml:space="preserve"> nanoparticles</w:t>
      </w:r>
      <w:r w:rsidR="00CA44DF">
        <w:t>,</w:t>
      </w:r>
      <w:r w:rsidR="001779C8">
        <w:t xml:space="preserve"> </w:t>
      </w:r>
      <w:r w:rsidR="001167D2">
        <w:t>controls</w:t>
      </w:r>
      <w:r w:rsidR="00CA44DF">
        <w:t xml:space="preserve"> the</w:t>
      </w:r>
      <w:r w:rsidR="001167D2">
        <w:t xml:space="preserve"> full</w:t>
      </w:r>
      <w:r w:rsidR="001779C8">
        <w:t xml:space="preserve"> system efficiency</w:t>
      </w:r>
      <w:r w:rsidR="001167D2">
        <w:t xml:space="preserve"> and</w:t>
      </w:r>
      <w:r w:rsidR="00CA44DF">
        <w:t xml:space="preserve"> ultimately t</w:t>
      </w:r>
      <w:r w:rsidR="001779C8">
        <w:t xml:space="preserve">he cost of </w:t>
      </w:r>
      <w:r w:rsidR="00CA44DF">
        <w:t>the produced hydrogen</w:t>
      </w:r>
      <w:r w:rsidR="001779C8">
        <w:t xml:space="preserve">. </w:t>
      </w:r>
      <w:r w:rsidR="00954107">
        <w:t>Therefore, a crucial effort is needed to better understand the IrO</w:t>
      </w:r>
      <w:r w:rsidR="00954107">
        <w:rPr>
          <w:vertAlign w:val="subscript"/>
        </w:rPr>
        <w:t>2</w:t>
      </w:r>
      <w:r w:rsidR="00954107">
        <w:t xml:space="preserve"> structure and behavior </w:t>
      </w:r>
      <w:r w:rsidR="001167D2">
        <w:t xml:space="preserve">in order </w:t>
      </w:r>
      <w:r w:rsidR="00954107">
        <w:t xml:space="preserve">to </w:t>
      </w:r>
      <w:r w:rsidR="001167D2">
        <w:t>enhance</w:t>
      </w:r>
      <w:r w:rsidR="00954107">
        <w:t xml:space="preserve"> the oxygen evolution reaction (OER) efficiency. </w:t>
      </w:r>
      <w:r w:rsidR="00BD3450">
        <w:t>While the reaction mechanism is still in debate in the literature</w:t>
      </w:r>
      <w:r w:rsidR="00BD3450" w:rsidRPr="00505710">
        <w:rPr>
          <w:rStyle w:val="FootnoteReference"/>
        </w:rPr>
        <w:footnoteReference w:id="4"/>
      </w:r>
      <w:r w:rsidR="00BD3450">
        <w:t xml:space="preserve">, several studies </w:t>
      </w:r>
      <w:r w:rsidR="001167D2">
        <w:t>have shown</w:t>
      </w:r>
      <w:r w:rsidR="00BD3450">
        <w:t xml:space="preserve"> the operating potential </w:t>
      </w:r>
      <w:r w:rsidR="001167D2">
        <w:t>drives</w:t>
      </w:r>
      <w:r w:rsidR="00954107">
        <w:t xml:space="preserve"> surface </w:t>
      </w:r>
      <w:r w:rsidR="001167D2">
        <w:t>reconstruction</w:t>
      </w:r>
      <w:r w:rsidR="00BD3450" w:rsidRPr="00505710">
        <w:rPr>
          <w:rStyle w:val="FootnoteReference"/>
        </w:rPr>
        <w:footnoteReference w:id="5"/>
      </w:r>
      <w:r w:rsidR="00BD3450">
        <w:t xml:space="preserve"> </w:t>
      </w:r>
      <w:r w:rsidR="001167D2">
        <w:t>of the IrO</w:t>
      </w:r>
      <w:r w:rsidR="001167D2" w:rsidRPr="00BD3450">
        <w:rPr>
          <w:vertAlign w:val="subscript"/>
        </w:rPr>
        <w:t>2</w:t>
      </w:r>
      <w:r w:rsidR="001167D2">
        <w:t xml:space="preserve"> catalyst </w:t>
      </w:r>
      <w:r w:rsidR="00BD3450">
        <w:t xml:space="preserve">and </w:t>
      </w:r>
      <w:r w:rsidR="00954107">
        <w:t xml:space="preserve">the </w:t>
      </w:r>
      <w:r w:rsidR="001167D2">
        <w:t>modification</w:t>
      </w:r>
      <w:r w:rsidR="00954107">
        <w:t xml:space="preserve"> of its bulk structure</w:t>
      </w:r>
      <w:r w:rsidR="00954107" w:rsidRPr="00505710">
        <w:rPr>
          <w:rStyle w:val="FootnoteReference"/>
        </w:rPr>
        <w:footnoteReference w:id="6"/>
      </w:r>
      <w:r w:rsidR="00BD3450">
        <w:t xml:space="preserve">. </w:t>
      </w:r>
      <w:r>
        <w:t>In this context,</w:t>
      </w:r>
      <w:r w:rsidR="00954107">
        <w:t xml:space="preserve"> </w:t>
      </w:r>
      <w:r w:rsidR="00954107" w:rsidRPr="0030367E">
        <w:rPr>
          <w:i/>
          <w:iCs/>
        </w:rPr>
        <w:t>operando</w:t>
      </w:r>
      <w:r w:rsidR="00954107">
        <w:t xml:space="preserve"> characterization</w:t>
      </w:r>
      <w:r>
        <w:t>s</w:t>
      </w:r>
      <w:r w:rsidR="00954107">
        <w:t xml:space="preserve"> </w:t>
      </w:r>
      <w:r>
        <w:t>are</w:t>
      </w:r>
      <w:r w:rsidR="00954107">
        <w:t xml:space="preserve"> </w:t>
      </w:r>
      <w:r w:rsidR="001167D2">
        <w:t>essential</w:t>
      </w:r>
      <w:r w:rsidR="00954107">
        <w:t xml:space="preserve"> to unravel the different phenomena taking place during OER. In this work we used x-ray diffraction to probe the evolution of the lattice structure as a function of potential. </w:t>
      </w:r>
      <w:r w:rsidR="001167D2" w:rsidRPr="001167D2">
        <w:t xml:space="preserve">his study provides new evidence to advance our understanding of the OER mechanism, demonstrating how this research topic </w:t>
      </w:r>
      <w:r w:rsidR="001167D2">
        <w:t xml:space="preserve">could benefit from </w:t>
      </w:r>
      <w:r w:rsidR="001167D2" w:rsidRPr="001167D2">
        <w:t>x-ray</w:t>
      </w:r>
      <w:r w:rsidR="001167D2">
        <w:t>-based</w:t>
      </w:r>
      <w:r w:rsidR="00E66A94">
        <w:t xml:space="preserve"> </w:t>
      </w:r>
      <w:r w:rsidR="001167D2" w:rsidRPr="001167D2">
        <w:t>high</w:t>
      </w:r>
      <w:r w:rsidR="001167D2">
        <w:t>-</w:t>
      </w:r>
      <w:r w:rsidR="001167D2" w:rsidRPr="001167D2">
        <w:t xml:space="preserve">throughput </w:t>
      </w:r>
      <w:r w:rsidR="00E66A94">
        <w:t>experiments.</w:t>
      </w:r>
    </w:p>
    <w:p w14:paraId="3F3346B1" w14:textId="21EB47F1" w:rsidR="00F91DFE" w:rsidRDefault="00F91DFE" w:rsidP="00F91DFE">
      <w:pPr>
        <w:keepNext/>
        <w:jc w:val="both"/>
      </w:pPr>
    </w:p>
    <w:p w14:paraId="23B8E2A1" w14:textId="6E4821BD" w:rsidR="00F91DFE" w:rsidRPr="00954107" w:rsidRDefault="00F91DFE" w:rsidP="00F91DFE">
      <w:pPr>
        <w:pStyle w:val="Caption"/>
        <w:jc w:val="both"/>
      </w:pPr>
      <w:r>
        <w:t xml:space="preserve">Figure </w:t>
      </w:r>
      <w:fldSimple w:instr=" SEQ Figure \* ARABIC ">
        <w:r>
          <w:rPr>
            <w:noProof/>
          </w:rPr>
          <w:t>1</w:t>
        </w:r>
      </w:fldSimple>
      <w:r w:rsidR="00BD3450">
        <w:t>: a) Operando zero-gap electrolyzer cell. b) IrO</w:t>
      </w:r>
      <w:r w:rsidR="00BD3450">
        <w:rPr>
          <w:vertAlign w:val="subscript"/>
        </w:rPr>
        <w:t>2</w:t>
      </w:r>
      <w:r w:rsidR="00BD3450">
        <w:t xml:space="preserve"> rutile diffraction image and integrated 1D pattern.</w:t>
      </w:r>
      <w:r w:rsidR="00954107">
        <w:t xml:space="preserve"> Evolution</w:t>
      </w:r>
      <w:r w:rsidR="00BD3450">
        <w:t xml:space="preserve"> of the lattice volume </w:t>
      </w:r>
      <w:r w:rsidR="00954107">
        <w:t xml:space="preserve">due to the </w:t>
      </w:r>
      <w:r w:rsidR="00505710">
        <w:t>variation of potential measured on</w:t>
      </w:r>
      <w:r w:rsidR="00954107">
        <w:t xml:space="preserve"> c) pure IrO</w:t>
      </w:r>
      <w:r w:rsidR="00954107" w:rsidRPr="00954107">
        <w:rPr>
          <w:vertAlign w:val="subscript"/>
        </w:rPr>
        <w:t>2</w:t>
      </w:r>
      <w:r w:rsidR="00954107">
        <w:t xml:space="preserve"> and d) Ti doped IrO</w:t>
      </w:r>
      <w:r w:rsidR="00954107" w:rsidRPr="00954107">
        <w:rPr>
          <w:vertAlign w:val="subscript"/>
        </w:rPr>
        <w:t>2</w:t>
      </w:r>
      <w:r w:rsidR="00954107">
        <w:t xml:space="preserve"> catalysts. </w:t>
      </w:r>
    </w:p>
    <w:p w14:paraId="19971B02" w14:textId="77777777" w:rsidR="00F91DFE" w:rsidRDefault="00F91DFE" w:rsidP="00E0716D">
      <w:pPr>
        <w:jc w:val="both"/>
      </w:pPr>
    </w:p>
    <w:p w14:paraId="0340A029"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AC134" w14:textId="77777777" w:rsidR="00E23D88" w:rsidRDefault="00E23D88" w:rsidP="00E252F7">
      <w:r>
        <w:separator/>
      </w:r>
    </w:p>
  </w:endnote>
  <w:endnote w:type="continuationSeparator" w:id="0">
    <w:p w14:paraId="720E67AC" w14:textId="77777777" w:rsidR="00E23D88" w:rsidRDefault="00E23D88" w:rsidP="00E25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A1463" w14:textId="77777777" w:rsidR="00E23D88" w:rsidRDefault="00E23D88" w:rsidP="00E252F7">
      <w:r>
        <w:separator/>
      </w:r>
    </w:p>
  </w:footnote>
  <w:footnote w:type="continuationSeparator" w:id="0">
    <w:p w14:paraId="1A8E147B" w14:textId="77777777" w:rsidR="00E23D88" w:rsidRDefault="00E23D88" w:rsidP="00E252F7">
      <w:r>
        <w:continuationSeparator/>
      </w:r>
    </w:p>
  </w:footnote>
  <w:footnote w:id="1">
    <w:p w14:paraId="53F6524C" w14:textId="0FCE655B" w:rsidR="00E252F7" w:rsidRDefault="00E252F7">
      <w:pPr>
        <w:pStyle w:val="FootnoteText"/>
      </w:pPr>
      <w:r w:rsidRPr="00505710">
        <w:rPr>
          <w:rStyle w:val="FootnoteReference"/>
        </w:rPr>
        <w:footnoteRef/>
      </w:r>
      <w:r>
        <w:t xml:space="preserve"> </w:t>
      </w:r>
      <w:r>
        <w:fldChar w:fldCharType="begin"/>
      </w:r>
      <w:r>
        <w:instrText xml:space="preserve"> ADDIN ZOTERO_ITEM CSL_CITATION {"citationID":"FopfEc8e","properties":{"formattedCitation":"Uwe Remme, {\\i{}Global Hydrogen Review 2025}, 2025.","plainCitation":"Uwe Remme, Global Hydrogen Review 2025, 2025.","noteIndex":1},"citationItems":[{"id":6552,"uris":["http://zotero.org/users/12713312/items/NXUKS7JM"],"itemData":{"id":6552,"type":"article-journal","abstract":"The Global Hydrogen Review is an annual publication by the International Energy Agency that tracks hydrogen production and demand worldwide, shedding light on the latest developments on policy, infrastructure, trade, investments and innovation.","language":"en","source":"Zotero","title":"Global Hydrogen Review 2025","author":[{"family":"Remme","given":"Uwe"}],"issued":{"date-parts":[["2025"]]}}}],"schema":"https://github.com/citation-style-language/schema/raw/master/csl-citation.json"} </w:instrText>
      </w:r>
      <w:r>
        <w:fldChar w:fldCharType="separate"/>
      </w:r>
      <w:r w:rsidRPr="00E252F7">
        <w:rPr>
          <w:szCs w:val="24"/>
        </w:rPr>
        <w:t xml:space="preserve">Uwe Remme, </w:t>
      </w:r>
      <w:r w:rsidRPr="00E252F7">
        <w:rPr>
          <w:i/>
          <w:iCs/>
          <w:szCs w:val="24"/>
        </w:rPr>
        <w:t>Global Hydrogen Review 2025</w:t>
      </w:r>
      <w:r w:rsidRPr="00E252F7">
        <w:rPr>
          <w:szCs w:val="24"/>
        </w:rPr>
        <w:t>, 2025.</w:t>
      </w:r>
      <w:r>
        <w:fldChar w:fldCharType="end"/>
      </w:r>
    </w:p>
  </w:footnote>
  <w:footnote w:id="2">
    <w:p w14:paraId="461F4649" w14:textId="1E771F8C" w:rsidR="001779C8" w:rsidRDefault="001779C8">
      <w:pPr>
        <w:pStyle w:val="FootnoteText"/>
      </w:pPr>
      <w:r w:rsidRPr="00505710">
        <w:rPr>
          <w:rStyle w:val="FootnoteReference"/>
        </w:rPr>
        <w:footnoteRef/>
      </w:r>
      <w:r>
        <w:t xml:space="preserve"> </w:t>
      </w:r>
      <w:r>
        <w:fldChar w:fldCharType="begin"/>
      </w:r>
      <w:r>
        <w:instrText xml:space="preserve"> ADDIN ZOTERO_ITEM CSL_CITATION {"citationID":"vjbRQz62","properties":{"formattedCitation":"Sonja van Renssen, \\uc0\\u8220{}The Hydrogen Solution?,\\uc0\\u8221{} {\\i{}Nature Climate Change} 10, no. 9 (2020): 799\\uc0\\u8211{}801, https://doi.org/10.1038/s41558-020-0891-0.","plainCitation":"Sonja van Renssen, “The Hydrogen Solution?,” Nature Climate Change 10, no. 9 (2020): 799–801, https://doi.org/10.1038/s41558-020-0891-0.","noteIndex":2},"citationItems":[{"id":6556,"uris":["http://zotero.org/users/12713312/items/A8F4FLYH"],"itemData":{"id":6556,"type":"article-journal","abstract":"A new star has exploded back onto the climate scene: hydrogen. It offers possibilities to move away from fossil fuels, but it brings its own challenges.","container-title":"Nature Climate Change","DOI":"10.1038/s41558-020-0891-0","ISSN":"1758-6798","issue":"9","journalAbbreviation":"Nat. Clim. Chang.","language":"en","license":"2020 Springer Nature Limited","page":"799-801","publisher":"Nature Publishing Group","source":"www.nature.com","title":"The hydrogen solution?","volume":"10","author":[{"family":"Renssen","given":"Sonja","non-dropping-particle":"van"}],"issued":{"date-parts":[["2020",9]]}}}],"schema":"https://github.com/citation-style-language/schema/raw/master/csl-citation.json"} </w:instrText>
      </w:r>
      <w:r>
        <w:fldChar w:fldCharType="separate"/>
      </w:r>
      <w:r w:rsidRPr="001779C8">
        <w:rPr>
          <w:szCs w:val="24"/>
        </w:rPr>
        <w:t xml:space="preserve">Sonja van Renssen, “The Hydrogen Solution?,” </w:t>
      </w:r>
      <w:r w:rsidRPr="001779C8">
        <w:rPr>
          <w:i/>
          <w:iCs/>
          <w:szCs w:val="24"/>
        </w:rPr>
        <w:t>Nature Climate Change</w:t>
      </w:r>
      <w:r w:rsidRPr="001779C8">
        <w:rPr>
          <w:szCs w:val="24"/>
        </w:rPr>
        <w:t xml:space="preserve"> 10, no. 9 (2020): 799–801, https://doi.org/10.1038/s41558-020-0891-0.</w:t>
      </w:r>
      <w:r>
        <w:fldChar w:fldCharType="end"/>
      </w:r>
    </w:p>
  </w:footnote>
  <w:footnote w:id="3">
    <w:p w14:paraId="21DA042E" w14:textId="04FB1AA7" w:rsidR="001779C8" w:rsidRDefault="001779C8">
      <w:pPr>
        <w:pStyle w:val="FootnoteText"/>
      </w:pPr>
      <w:r w:rsidRPr="00505710">
        <w:rPr>
          <w:rStyle w:val="FootnoteReference"/>
        </w:rPr>
        <w:footnoteRef/>
      </w:r>
      <w:r>
        <w:t xml:space="preserve"> </w:t>
      </w:r>
      <w:r>
        <w:fldChar w:fldCharType="begin"/>
      </w:r>
      <w:r>
        <w:instrText xml:space="preserve"> ADDIN ZOTERO_ITEM CSL_CITATION {"citationID":"VBZ8H4d2","properties":{"formattedCitation":"Bryan Pivovar et al., \\uc0\\u8220{}Hydrogen at Scale (H2@Scale): Key to a Clean, Economic, and Sustainable Energy System,\\uc0\\u8221{} {\\i{}The Electrochemical Society Interface} 27, no. 1 (2018): 47, https://doi.org/10.1149/2.F04181if.","plainCitation":"Bryan Pivovar et al., “Hydrogen at Scale (H2@Scale): Key to a Clean, Economic, and Sustainable Energy System,” The Electrochemical Society Interface 27, no. 1 (2018): 47, https://doi.org/10.1149/2.F04181if.","noteIndex":3},"citationItems":[{"id":6559,"uris":["http://zotero.org/users/12713312/items/783DPNRT"],"itemData":{"id":6559,"type":"article-journal","abstract":"Hydrogen at Scale (H2@Scale): Key to a Clean, Economic, and Sustainable Energy System, Pivovar, Bryan, Rustagi, Neha, Satyapal, Sunita","container-title":"The Electrochemical Society Interface","DOI":"10.1149/2.F04181if","ISSN":"1944-8783","issue":"1","journalAbbreviation":"Electrochem. Soc. Interface","language":"en","page":"47","publisher":"IOP Publishing","source":"iopscience.iop.org","title":"Hydrogen at Scale (H2@Scale): Key to a Clean, Economic, and Sustainable Energy System","title-short":"Hydrogen at Scale (H2@Scale)","volume":"27","author":[{"family":"Pivovar","given":"Bryan"},{"family":"Rustagi","given":"Neha"},{"family":"Satyapal","given":"Sunita"}],"issued":{"date-parts":[["2018",1,1]]}}}],"schema":"https://github.com/citation-style-language/schema/raw/master/csl-citation.json"} </w:instrText>
      </w:r>
      <w:r>
        <w:fldChar w:fldCharType="separate"/>
      </w:r>
      <w:r w:rsidRPr="001779C8">
        <w:rPr>
          <w:szCs w:val="24"/>
        </w:rPr>
        <w:t xml:space="preserve">Bryan Pivovar et al., “Hydrogen at Scale (H2@Scale): Key to a Clean, Economic, and Sustainable Energy System,” </w:t>
      </w:r>
      <w:r w:rsidRPr="001779C8">
        <w:rPr>
          <w:i/>
          <w:iCs/>
          <w:szCs w:val="24"/>
        </w:rPr>
        <w:t>The Electrochemical Society Interface</w:t>
      </w:r>
      <w:r w:rsidRPr="001779C8">
        <w:rPr>
          <w:szCs w:val="24"/>
        </w:rPr>
        <w:t xml:space="preserve"> 27, no. 1 (2018): 47, https://doi.org/10.1149/2.F04181if.</w:t>
      </w:r>
      <w:r>
        <w:fldChar w:fldCharType="end"/>
      </w:r>
    </w:p>
  </w:footnote>
  <w:footnote w:id="4">
    <w:p w14:paraId="0886B6B0" w14:textId="0F289565" w:rsidR="00BD3450" w:rsidRDefault="00BD3450">
      <w:pPr>
        <w:pStyle w:val="FootnoteText"/>
      </w:pPr>
      <w:r w:rsidRPr="00505710">
        <w:rPr>
          <w:rStyle w:val="FootnoteReference"/>
        </w:rPr>
        <w:footnoteRef/>
      </w:r>
      <w:r>
        <w:t xml:space="preserve"> </w:t>
      </w:r>
      <w:r>
        <w:fldChar w:fldCharType="begin"/>
      </w:r>
      <w:r>
        <w:instrText xml:space="preserve"> ADDIN ZOTERO_ITEM CSL_CITATION {"citationID":"h4A7lHtU","properties":{"formattedCitation":"Lorenz J. Falling et al., \\uc0\\u8220{}The Ladder towards Understanding the Oxygen Evolution Reaction,\\uc0\\u8221{} {\\i{}Current Opinion in Electrochemistry} 30 (December 2021): 100842, https://doi.org/10.1016/j.coelec.2021.100842.","plainCitation":"Lorenz J. Falling et al., “The Ladder towards Understanding the Oxygen Evolution Reaction,” Current Opinion in Electrochemistry 30 (December 2021): 100842, https://doi.org/10.1016/j.coelec.2021.100842.","noteIndex":4},"citationItems":[{"id":6597,"uris":["http://zotero.org/users/12713312/items/YZPXM594"],"itemData":{"id":6597,"type":"article-journal","abstract":"Understanding the atomic-scale mechanistic details of the oxygen evolution reaction (OER) remains an unresolved challenge in electrochemistry owing to the complexity of the OER. In this short review we discuss how, with the advent of new experimental and computational methodologies, the OER can be treated with increasingly sophisticated models to aid in our complete understanding. For the case of steady state catalyst surfaces, we define a six-rung ladder of complexity to frame how far this understanding reaches and in which aspects our understanding could still improve.","container-title":"Current Opinion in Electrochemistry","DOI":"10.1016/j.coelec.2021.100842","ISSN":"24519103","journalAbbreviation":"Current Opinion in Electrochemistry","language":"en","page":"100842","source":"DOI.org (Crossref)","title":"The ladder towards understanding the oxygen evolution reaction","volume":"30","author":[{"family":"Falling","given":"Lorenz J."},{"family":"Velasco-Vélez","given":"Juan J."},{"family":"Mom","given":"Rik V."},{"family":"Knop-Gericke","given":"Axel"},{"family":"Schlögl","given":"Robert"},{"family":"Teschner","given":"Detre"},{"family":"Jones","given":"Travis E."}],"issued":{"date-parts":[["2021",12]]}}}],"schema":"https://github.com/citation-style-language/schema/raw/master/csl-citation.json"} </w:instrText>
      </w:r>
      <w:r>
        <w:fldChar w:fldCharType="separate"/>
      </w:r>
      <w:r w:rsidRPr="00BD3450">
        <w:rPr>
          <w:szCs w:val="24"/>
        </w:rPr>
        <w:t xml:space="preserve">Lorenz J. Falling et al., “The Ladder towards Understanding the Oxygen Evolution Reaction,” </w:t>
      </w:r>
      <w:r w:rsidRPr="00BD3450">
        <w:rPr>
          <w:i/>
          <w:iCs/>
          <w:szCs w:val="24"/>
        </w:rPr>
        <w:t>Current Opinion in Electrochemistry</w:t>
      </w:r>
      <w:r w:rsidRPr="00BD3450">
        <w:rPr>
          <w:szCs w:val="24"/>
        </w:rPr>
        <w:t xml:space="preserve"> 30 (December 2021): 100842, https://doi.org/10.1016/j.coelec.2021.100842.</w:t>
      </w:r>
      <w:r>
        <w:fldChar w:fldCharType="end"/>
      </w:r>
    </w:p>
  </w:footnote>
  <w:footnote w:id="5">
    <w:p w14:paraId="52BD7513" w14:textId="3BD239AE" w:rsidR="00BD3450" w:rsidRDefault="00BD3450">
      <w:pPr>
        <w:pStyle w:val="FootnoteText"/>
      </w:pPr>
      <w:r w:rsidRPr="00505710">
        <w:rPr>
          <w:rStyle w:val="FootnoteReference"/>
        </w:rPr>
        <w:footnoteRef/>
      </w:r>
      <w:r>
        <w:t xml:space="preserve"> </w:t>
      </w:r>
      <w:r>
        <w:fldChar w:fldCharType="begin"/>
      </w:r>
      <w:r>
        <w:instrText xml:space="preserve"> ADDIN ZOTERO_ITEM CSL_CITATION {"citationID":"xNKLPBDe","properties":{"formattedCitation":"Neha Thakur et al., \\uc0\\u8220{}Identifying Active Sites of IrOx Catalysts for OER: A Combined Operando XAS, SEIRAS, and Theoretical Study,\\uc0\\u8221{} {\\i{}Journal of the American Chemical Society} 147, no. 34 (2025): 30613\\uc0\\u8211{}25, https://doi.org/10.1021/jacs.4c18510.","plainCitation":"Neha Thakur et al., “Identifying Active Sites of IrOx Catalysts for OER: A Combined Operando XAS, SEIRAS, and Theoretical Study,” Journal of the American Chemical Society 147, no. 34 (2025): 30613–25, https://doi.org/10.1021/jacs.4c18510.","noteIndex":5},"citationItems":[{"id":6097,"uris":["http://zotero.org/users/12713312/items/CSIXVL3H"],"itemData":{"id":6097,"type":"article-journal","abstract":"Iridium oxide is a benchmark catalyst for anodic oxygen evolution reactions due to its high activity and durability. However, debates persist regarding the short lifespan of reaction intermediates and whether amorphous phases exhibit higher activity in comparison to crystalline ones. Herein, we examined IrOx catalysts with different degrees of crystallinity (SA3.5, SA58, SA103, and SA14.6, named after their BET surface area) and revealed the relation between their structures and OER activities. The atomic pair distribution function analyses show that the amorphous IrOx (SA3.5, SA103, and SA14.6) possesses monoclinic and orthorhombic-like structural phases or motifs, which differ from the typical tetragonal symmetry of crystalline IrO2. Operando X-ray absorption spectroscopy (XAS) and operando surface-enhanced infrared absorption spectroscopy (SEIRAS) revealed that the SA3.5 sample, with higher monoclinic content, exhibits a structure containing corner- and edge-sharing octahedra with highly undercoordinated sites, leading to structural defects. These defects generate active electrophilic OI– species, facilitating the generation of *OOH intermediates and enhancing OER activity. Theoretical studies reveal that they also lower the energy barrier for the monoclinic crystal structure. These findings offer a fundamental understanding of amorphous iridium oxides and provide inspiration for developing new OER catalysts.","container-title":"Journal of the American Chemical Society","DOI":"10.1021/jacs.4c18510","ISSN":"0002-7863","issue":"34","journalAbbreviation":"J. Am. Chem. Soc.","page":"30613-30625","publisher":"American Chemical Society","source":"ACS Publications","title":"Identifying Active Sites of IrOx Catalysts for OER: A Combined Operando XAS, SEIRAS, and Theoretical Study","title-short":"Identifying Active Sites of IrOx Catalysts for OER","volume":"147","author":[{"family":"Thakur","given":"Neha"},{"family":"Ren","given":"Yadan"},{"family":"Kumar","given":"Mukesh"},{"family":"Uchiyama","given":"Tomoki"},{"family":"Fujita","given":"Mitsuharu"},{"family":"Arima","given":"Ikkei"},{"family":"Ishida","given":"Minoru"},{"family":"Wu","given":"Yingkai"},{"family":"Tsuji","given":"Yuta"},{"family":"Imai","given":"Hideto"},{"family":"Matsumoto","given":"Masashi"},{"family":"Zhuang","given":"Yu"},{"family":"Yamamoto","given":"Kentaro"},{"family":"Matsunaga","given":"Toshiyuki"},{"family":"Ohara","given":"Koji"},{"family":"Matsumoto","given":"Mitsuhiro"},{"family":"Orikasa","given":"Yuki"},{"family":"Kuroda","given":"Yoshiyuki"},{"family":"Mitsushima","given":"Shigenori"},{"family":"Uchimoto","given":"Yoshiharu"}],"issued":{"date-parts":[["2025",8,27]]}}}],"schema":"https://github.com/citation-style-language/schema/raw/master/csl-citation.json"} </w:instrText>
      </w:r>
      <w:r>
        <w:fldChar w:fldCharType="separate"/>
      </w:r>
      <w:r w:rsidRPr="00BD3450">
        <w:rPr>
          <w:szCs w:val="24"/>
        </w:rPr>
        <w:t xml:space="preserve">Neha Thakur et al., “Identifying Active Sites of IrOx Catalysts for OER: A Combined Operando XAS, SEIRAS, and Theoretical Study,” </w:t>
      </w:r>
      <w:r w:rsidRPr="00BD3450">
        <w:rPr>
          <w:i/>
          <w:iCs/>
          <w:szCs w:val="24"/>
        </w:rPr>
        <w:t>Journal of the American Chemical Society</w:t>
      </w:r>
      <w:r w:rsidRPr="00BD3450">
        <w:rPr>
          <w:szCs w:val="24"/>
        </w:rPr>
        <w:t xml:space="preserve"> 147, no. 34 (2025): 30613–25, https://doi.org/10.1021/jacs.4c18510.</w:t>
      </w:r>
      <w:r>
        <w:fldChar w:fldCharType="end"/>
      </w:r>
    </w:p>
  </w:footnote>
  <w:footnote w:id="6">
    <w:p w14:paraId="63846C72" w14:textId="7A0E70AB" w:rsidR="00954107" w:rsidRDefault="00954107">
      <w:pPr>
        <w:pStyle w:val="FootnoteText"/>
      </w:pPr>
      <w:r w:rsidRPr="00505710">
        <w:rPr>
          <w:rStyle w:val="FootnoteReference"/>
        </w:rPr>
        <w:footnoteRef/>
      </w:r>
      <w:r>
        <w:t xml:space="preserve"> </w:t>
      </w:r>
      <w:r>
        <w:fldChar w:fldCharType="begin"/>
      </w:r>
      <w:r>
        <w:instrText xml:space="preserve"> ADDIN ZOTERO_ITEM CSL_CITATION {"citationID":"xqIVBxgp","properties":{"formattedCitation":"Viktoriia A. Saveleva et al., \\uc0\\u8220{}Operando Evidence for a Universal Oxygen Evolution Mechanism on Thermal and Electrochemical Iridium Oxides,\\uc0\\u8221{} {\\i{}The Journal of Physical Chemistry Letters} 9, no. 11 (2018): 3154\\uc0\\u8211{}60, https://doi.org/10.1021/acs.jpclett.8b00810.","plainCitation":"Viktoriia A. Saveleva et al., “Operando Evidence for a Universal Oxygen Evolution Mechanism on Thermal and Electrochemical Iridium Oxides,” The Journal of Physical Chemistry Letters 9, no. 11 (2018): 3154–60, https://doi.org/10.1021/acs.jpclett.8b00810.","noteIndex":6},"citationItems":[{"id":6100,"uris":["http://zotero.org/users/12713312/items/6YU7JZQV"],"itemData":{"id":6100,"type":"article-journal","abstract":"Progress in the development of proton exchange membrane (PEM) water electrolysis technology requires decreasing the anode overpotential, where the sluggish multistep oxygen evolution reaction (OER) occurs. This calls for an understanding of the nature of the active OER sites and reaction intermediates, which are still being debated. In this work, we apply synchrotron radiation-based near-ambient pressure X-ray photoelectron and absorption spectroscopies under operando conditions in order to unveil the nature of the reaction intermediates and shed light on the OER mechanism on electrocatalysts most widely used in PEM electrolyzers—electrochemical and thermal iridium oxides. Analysis of the O K-edge and Ir 4f spectra backed by density functional calculations reveals a universal oxygen anion red–ox mechanism regardless of the nature (electrochemical or thermal) of the iridium oxide. The formation of molecular oxygen is considered to occur through a chemical step from the electrophilic OI– species, which itself is formed in an electrochemical step.","container-title":"The Journal of Physical Chemistry Letters","DOI":"10.1021/acs.jpclett.8b00810","issue":"11","journalAbbreviation":"J. Phys. Chem. Lett.","page":"3154-3160","publisher":"American Chemical Society","source":"ACS Publications","title":"Operando Evidence for a Universal Oxygen Evolution Mechanism on Thermal and Electrochemical Iridium Oxides","volume":"9","author":[{"family":"Saveleva","given":"Viktoriia A."},{"family":"Wang","given":"Li"},{"family":"Teschner","given":"Detre"},{"family":"Jones","given":"Travis"},{"family":"Gago","given":"Aldo S."},{"family":"Friedrich","given":"K. Andreas"},{"family":"Zafeiratos","given":"Spyridon"},{"family":"Schlögl","given":"Robert"},{"family":"Savinova","given":"Elena R."}],"issued":{"date-parts":[["2018",6,7]]}}}],"schema":"https://github.com/citation-style-language/schema/raw/master/csl-citation.json"} </w:instrText>
      </w:r>
      <w:r>
        <w:fldChar w:fldCharType="separate"/>
      </w:r>
      <w:r w:rsidRPr="00954107">
        <w:rPr>
          <w:szCs w:val="24"/>
        </w:rPr>
        <w:t xml:space="preserve">Viktoriia A. Saveleva et al., “Operando Evidence for a Universal Oxygen Evolution Mechanism on Thermal and Electrochemical Iridium Oxides,” </w:t>
      </w:r>
      <w:r w:rsidRPr="00954107">
        <w:rPr>
          <w:i/>
          <w:iCs/>
          <w:szCs w:val="24"/>
        </w:rPr>
        <w:t>The Journal of Physical Chemistry Letters</w:t>
      </w:r>
      <w:r w:rsidRPr="00954107">
        <w:rPr>
          <w:szCs w:val="24"/>
        </w:rPr>
        <w:t xml:space="preserve"> 9, no. 11 (2018): 3154–60, https://doi.org/10.1021/acs.jpclett.8b00810.</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3899"/>
    <w:multiLevelType w:val="hybridMultilevel"/>
    <w:tmpl w:val="43A6905E"/>
    <w:lvl w:ilvl="0" w:tplc="C85A9788">
      <w:start w:val="1"/>
      <w:numFmt w:val="lowerLetter"/>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C09EA"/>
    <w:rsid w:val="001167D2"/>
    <w:rsid w:val="001779C8"/>
    <w:rsid w:val="0030367E"/>
    <w:rsid w:val="00325004"/>
    <w:rsid w:val="00505710"/>
    <w:rsid w:val="00530C51"/>
    <w:rsid w:val="00536366"/>
    <w:rsid w:val="00685C1A"/>
    <w:rsid w:val="00744743"/>
    <w:rsid w:val="007C574E"/>
    <w:rsid w:val="008E5649"/>
    <w:rsid w:val="00954107"/>
    <w:rsid w:val="00AF3A7A"/>
    <w:rsid w:val="00B20396"/>
    <w:rsid w:val="00BD3450"/>
    <w:rsid w:val="00CA3152"/>
    <w:rsid w:val="00CA44DF"/>
    <w:rsid w:val="00E0716D"/>
    <w:rsid w:val="00E23D88"/>
    <w:rsid w:val="00E252F7"/>
    <w:rsid w:val="00E560F4"/>
    <w:rsid w:val="00E66A94"/>
    <w:rsid w:val="00F91DFE"/>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B5DC9D"/>
  <w14:defaultImageDpi w14:val="32767"/>
  <w15:docId w15:val="{CD238C65-B538-4F80-8BC1-7C149D99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F91DFE"/>
    <w:pPr>
      <w:spacing w:after="200"/>
    </w:pPr>
    <w:rPr>
      <w:i/>
      <w:iCs/>
      <w:color w:val="1F497D" w:themeColor="text2"/>
      <w:sz w:val="18"/>
      <w:szCs w:val="18"/>
    </w:rPr>
  </w:style>
  <w:style w:type="paragraph" w:styleId="ListParagraph">
    <w:name w:val="List Paragraph"/>
    <w:basedOn w:val="Normal"/>
    <w:uiPriority w:val="34"/>
    <w:qFormat/>
    <w:rsid w:val="00F91DFE"/>
    <w:pPr>
      <w:ind w:left="720"/>
      <w:contextualSpacing/>
    </w:pPr>
  </w:style>
  <w:style w:type="paragraph" w:styleId="FootnoteText">
    <w:name w:val="footnote text"/>
    <w:basedOn w:val="Normal"/>
    <w:link w:val="FootnoteTextChar"/>
    <w:uiPriority w:val="99"/>
    <w:semiHidden/>
    <w:unhideWhenUsed/>
    <w:rsid w:val="00E252F7"/>
  </w:style>
  <w:style w:type="character" w:customStyle="1" w:styleId="FootnoteTextChar">
    <w:name w:val="Footnote Text Char"/>
    <w:basedOn w:val="DefaultParagraphFont"/>
    <w:link w:val="FootnoteText"/>
    <w:uiPriority w:val="99"/>
    <w:semiHidden/>
    <w:rsid w:val="00E252F7"/>
    <w:rPr>
      <w:snapToGrid w:val="0"/>
    </w:rPr>
  </w:style>
  <w:style w:type="character" w:styleId="FootnoteReference">
    <w:name w:val="footnote reference"/>
    <w:basedOn w:val="DefaultParagraphFont"/>
    <w:uiPriority w:val="99"/>
    <w:semiHidden/>
    <w:unhideWhenUsed/>
    <w:rsid w:val="00E252F7"/>
    <w:rPr>
      <w:vertAlign w:val="superscript"/>
    </w:rPr>
  </w:style>
  <w:style w:type="paragraph" w:styleId="Bibliography">
    <w:name w:val="Bibliography"/>
    <w:basedOn w:val="Normal"/>
    <w:next w:val="Normal"/>
    <w:uiPriority w:val="37"/>
    <w:semiHidden/>
    <w:unhideWhenUsed/>
    <w:rsid w:val="00E66A94"/>
  </w:style>
  <w:style w:type="character" w:styleId="EndnoteReference">
    <w:name w:val="endnote reference"/>
    <w:basedOn w:val="DefaultParagraphFont"/>
    <w:uiPriority w:val="99"/>
    <w:semiHidden/>
    <w:unhideWhenUsed/>
    <w:rsid w:val="005057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2</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Florian Chabot</cp:lastModifiedBy>
  <cp:revision>8</cp:revision>
  <cp:lastPrinted>2013-10-21T12:07:00Z</cp:lastPrinted>
  <dcterms:created xsi:type="dcterms:W3CDTF">2021-03-10T13:20:00Z</dcterms:created>
  <dcterms:modified xsi:type="dcterms:W3CDTF">2026-06-01T17:00:00Z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id="M1dOE6c1"/&gt;&lt;style id="http://www.zotero.org/styles/chicago-shortened-notes-bibliography" locale="en-US" hasBibliography="1" bibliographyStyleHasBeenSet="0"/&gt;&lt;prefs&gt;&lt;pref name="fieldType" value="Fi</vt:lpwstr>
  </property>
  <property fmtid="{D5CDD505-2E9C-101B-9397-08002B2CF9AE}" pid="3" name="ZOTERO_PREF_2">
    <vt:lpwstr>eld"/&gt;&lt;pref name="noteType" value="1"/&gt;&lt;/prefs&gt;&lt;/data&gt;</vt:lpwstr>
  </property>
</Properties>
</file>