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8452F" w14:textId="77777777" w:rsidR="006C759F" w:rsidRPr="006C759F" w:rsidRDefault="006C759F" w:rsidP="006C759F">
      <w:pPr>
        <w:spacing w:line="276" w:lineRule="auto"/>
        <w:jc w:val="center"/>
        <w:rPr>
          <w:b/>
          <w:bCs/>
          <w:sz w:val="32"/>
          <w:szCs w:val="32"/>
        </w:rPr>
      </w:pPr>
      <w:r w:rsidRPr="006C759F">
        <w:rPr>
          <w:b/>
          <w:bCs/>
          <w:sz w:val="32"/>
          <w:szCs w:val="32"/>
        </w:rPr>
        <w:t>Intelligent Electrochemical Biosensing for Fast Pathogen Identification</w:t>
      </w:r>
    </w:p>
    <w:p w14:paraId="7BED9C0C" w14:textId="77777777" w:rsidR="00325004" w:rsidRPr="00A86EB9" w:rsidRDefault="00325004" w:rsidP="00E0716D">
      <w:pPr>
        <w:jc w:val="center"/>
        <w:rPr>
          <w:b/>
          <w:sz w:val="28"/>
        </w:rPr>
      </w:pPr>
    </w:p>
    <w:p w14:paraId="624E9647" w14:textId="721B0429" w:rsidR="006C759F" w:rsidRPr="006C759F" w:rsidRDefault="006C759F" w:rsidP="006C759F">
      <w:pPr>
        <w:spacing w:line="276" w:lineRule="auto"/>
        <w:jc w:val="center"/>
        <w:rPr>
          <w:sz w:val="24"/>
          <w:szCs w:val="24"/>
          <w:lang w:val="fr-FR"/>
        </w:rPr>
      </w:pPr>
      <w:r w:rsidRPr="006C759F">
        <w:rPr>
          <w:u w:val="single"/>
          <w:lang w:val="fr-FR"/>
        </w:rPr>
        <w:t>Cecilia Cristea</w:t>
      </w:r>
      <w:r w:rsidRPr="006C759F">
        <w:rPr>
          <w:lang w:val="fr-FR"/>
        </w:rPr>
        <w:t xml:space="preserve">, </w:t>
      </w:r>
      <w:r w:rsidRPr="006C759F">
        <w:rPr>
          <w:lang w:val="fr-FR"/>
        </w:rPr>
        <w:t xml:space="preserve">Ana Maria Tătaru, Andreea Cernat, Mihaela </w:t>
      </w:r>
      <w:proofErr w:type="spellStart"/>
      <w:r w:rsidRPr="006C759F">
        <w:rPr>
          <w:lang w:val="fr-FR"/>
        </w:rPr>
        <w:t>Tertiş</w:t>
      </w:r>
      <w:proofErr w:type="spellEnd"/>
      <w:r w:rsidRPr="006C759F">
        <w:rPr>
          <w:lang w:val="fr-FR"/>
        </w:rPr>
        <w:t>, Bogdan Feier</w:t>
      </w:r>
    </w:p>
    <w:p w14:paraId="54A73F86" w14:textId="13CEAE01" w:rsidR="006C759F" w:rsidRDefault="006C759F" w:rsidP="006C759F">
      <w:pPr>
        <w:spacing w:line="276" w:lineRule="auto"/>
        <w:jc w:val="center"/>
        <w:rPr>
          <w:i/>
          <w:iCs/>
        </w:rPr>
      </w:pPr>
      <w:r w:rsidRPr="006C759F">
        <w:rPr>
          <w:i/>
          <w:iCs/>
        </w:rPr>
        <w:t xml:space="preserve">Analytical Chemistry Department, </w:t>
      </w:r>
      <w:r>
        <w:rPr>
          <w:i/>
          <w:iCs/>
        </w:rPr>
        <w:t xml:space="preserve">Group of Biosensors and Bioelectrochemistry, </w:t>
      </w:r>
      <w:r w:rsidRPr="006C759F">
        <w:rPr>
          <w:i/>
          <w:iCs/>
        </w:rPr>
        <w:t xml:space="preserve">Faculty of Pharmacy, </w:t>
      </w:r>
    </w:p>
    <w:p w14:paraId="765C0B6A" w14:textId="442EDB7E" w:rsidR="006C759F" w:rsidRDefault="006C759F" w:rsidP="006C759F">
      <w:pPr>
        <w:spacing w:line="276" w:lineRule="auto"/>
        <w:jc w:val="center"/>
        <w:rPr>
          <w:i/>
          <w:iCs/>
        </w:rPr>
      </w:pPr>
      <w:r w:rsidRPr="006C759F">
        <w:rPr>
          <w:i/>
          <w:iCs/>
        </w:rPr>
        <w:t xml:space="preserve">Iuliu </w:t>
      </w:r>
      <w:proofErr w:type="spellStart"/>
      <w:r w:rsidRPr="006C759F">
        <w:rPr>
          <w:i/>
          <w:iCs/>
        </w:rPr>
        <w:t>Haţieganu</w:t>
      </w:r>
      <w:proofErr w:type="spellEnd"/>
      <w:r w:rsidRPr="006C759F">
        <w:rPr>
          <w:i/>
          <w:iCs/>
        </w:rPr>
        <w:t xml:space="preserve"> University of Medicine and Pharmacy, </w:t>
      </w:r>
    </w:p>
    <w:p w14:paraId="4B34C248" w14:textId="61EDAEE9" w:rsidR="006C759F" w:rsidRDefault="006C759F" w:rsidP="006C759F">
      <w:pPr>
        <w:spacing w:line="276" w:lineRule="auto"/>
        <w:jc w:val="center"/>
        <w:rPr>
          <w:i/>
          <w:iCs/>
        </w:rPr>
      </w:pPr>
      <w:r w:rsidRPr="006C759F">
        <w:rPr>
          <w:i/>
          <w:iCs/>
        </w:rPr>
        <w:t>4 Louis Pasteur St., 400349, Cluj-Napoca, Romania</w:t>
      </w:r>
    </w:p>
    <w:p w14:paraId="501796C1" w14:textId="02AAE7DD" w:rsidR="006C759F" w:rsidRPr="006C759F" w:rsidRDefault="006C759F" w:rsidP="006C759F">
      <w:pPr>
        <w:spacing w:line="276" w:lineRule="auto"/>
        <w:jc w:val="center"/>
        <w:rPr>
          <w:i/>
          <w:iCs/>
        </w:rPr>
      </w:pPr>
      <w:r>
        <w:rPr>
          <w:i/>
          <w:iCs/>
        </w:rPr>
        <w:t>ccristea@umfcluj.ro</w:t>
      </w:r>
    </w:p>
    <w:p w14:paraId="788FF3BF" w14:textId="77777777" w:rsidR="00325004" w:rsidRDefault="00325004" w:rsidP="00E0716D">
      <w:pPr>
        <w:jc w:val="center"/>
      </w:pPr>
    </w:p>
    <w:p w14:paraId="09C8C0B3" w14:textId="77777777" w:rsidR="006C759F" w:rsidRPr="006C759F" w:rsidRDefault="006C759F" w:rsidP="006C759F">
      <w:pPr>
        <w:spacing w:line="276" w:lineRule="auto"/>
        <w:jc w:val="both"/>
      </w:pPr>
      <w:r w:rsidRPr="006C759F">
        <w:t>Fast detection of pathogen bacteria is critical for preventing severe infections, managing outbreaks, and avoiding the overuse of broad-spectrum antibiotics. Conventional culture methods are accurate but heavily limited by long turn-around times that often stretch over several days. To solve this, smart, decentralized biosensing architectures were designed by combining nanoscale electrochemical frameworks with advanced machine learning algorithms, able of detecting multiple bacterial pathogens or specific virulence biomarkers simultaneously in highly complex matrices, like biological samples and food.</w:t>
      </w:r>
    </w:p>
    <w:p w14:paraId="7595362A" w14:textId="77777777" w:rsidR="006C759F" w:rsidRPr="006C759F" w:rsidRDefault="006C759F" w:rsidP="006C759F">
      <w:pPr>
        <w:spacing w:line="276" w:lineRule="auto"/>
        <w:jc w:val="both"/>
      </w:pPr>
      <w:r w:rsidRPr="006C759F">
        <w:t xml:space="preserve">The use of artificial intelligence directly addresses the primary bottlenecks of traditional electrochemical sensors—specifically signal drift, overlapping </w:t>
      </w:r>
      <w:proofErr w:type="spellStart"/>
      <w:r w:rsidRPr="006C759F">
        <w:t>voltammetric</w:t>
      </w:r>
      <w:proofErr w:type="spellEnd"/>
      <w:r w:rsidRPr="006C759F">
        <w:t xml:space="preserve"> peaks, and background matrix interference. In these smart sensing designs, multi-analyte electrochemical systems target specific bacterial metabolites, such as pyocyanin, aerobactin, and </w:t>
      </w:r>
      <w:proofErr w:type="spellStart"/>
      <w:r w:rsidRPr="006C759F">
        <w:t>enterobactin</w:t>
      </w:r>
      <w:proofErr w:type="spellEnd"/>
      <w:r w:rsidRPr="006C759F">
        <w:t xml:space="preserve">, or rely on surface-modified </w:t>
      </w:r>
      <w:proofErr w:type="spellStart"/>
      <w:r w:rsidRPr="006C759F">
        <w:t>aptasensors</w:t>
      </w:r>
      <w:proofErr w:type="spellEnd"/>
      <w:r w:rsidRPr="006C759F">
        <w:t xml:space="preserve"> to isolate target pathogens [1, 2]. In our approach artificial intelligence acts as a digital signal interpreter, processing high-throughput, multidimensional data generated by methods like square wave voltammetry or electrochemical impedance spectroscopy. Trained neural networks and random forest classifiers effortlessly decouple complex chemical signals. This allows the sensor to identify and quantify distinct bacterial strains at highly precise levels without requiring labor-intensive sample pre-treatment.</w:t>
      </w:r>
    </w:p>
    <w:p w14:paraId="784BF0BA" w14:textId="77777777" w:rsidR="006C759F" w:rsidRPr="006C759F" w:rsidRDefault="006C759F" w:rsidP="006C759F">
      <w:pPr>
        <w:spacing w:line="276" w:lineRule="auto"/>
        <w:jc w:val="both"/>
      </w:pPr>
      <w:r w:rsidRPr="006C759F">
        <w:rPr>
          <w:rFonts w:eastAsia="Calibri"/>
        </w:rPr>
        <w:t xml:space="preserve">Accurate detection of bacteria in complex biological, food, and environmental matrices is essential for infection control, antimicrobial resistance surveillance, and public health decision-making. </w:t>
      </w:r>
      <w:r w:rsidRPr="006C759F">
        <w:t xml:space="preserve">The integration of smart sensors with machine learning bridges the gap between laboratory electrochemistry and automated, portable digital health platforms. </w:t>
      </w:r>
    </w:p>
    <w:p w14:paraId="145EF8FF" w14:textId="77777777" w:rsidR="006C759F" w:rsidRPr="006C759F" w:rsidRDefault="006C759F" w:rsidP="006C759F">
      <w:pPr>
        <w:spacing w:line="276" w:lineRule="auto"/>
        <w:jc w:val="both"/>
      </w:pPr>
    </w:p>
    <w:p w14:paraId="1A8317FE" w14:textId="77777777" w:rsidR="006C759F" w:rsidRPr="006C759F" w:rsidRDefault="006C759F" w:rsidP="006C759F">
      <w:pPr>
        <w:spacing w:line="276" w:lineRule="auto"/>
        <w:jc w:val="both"/>
        <w:rPr>
          <w:b/>
          <w:bCs/>
        </w:rPr>
      </w:pPr>
      <w:r w:rsidRPr="006C759F">
        <w:rPr>
          <w:b/>
          <w:bCs/>
        </w:rPr>
        <w:t>Acknowledgments:</w:t>
      </w:r>
    </w:p>
    <w:p w14:paraId="323C3E72" w14:textId="77777777" w:rsidR="006C759F" w:rsidRPr="006C759F" w:rsidRDefault="006C759F" w:rsidP="006C759F">
      <w:pPr>
        <w:spacing w:line="276" w:lineRule="auto"/>
        <w:jc w:val="both"/>
      </w:pPr>
      <w:r w:rsidRPr="006C759F">
        <w:t>This work was supported by the European Union's Horizon Europe research and innovation program under the grant agreement “European integration of new technologies and social-economic solutions for increasing consumer trust and engagement in seafood products” (</w:t>
      </w:r>
      <w:proofErr w:type="spellStart"/>
      <w:r w:rsidRPr="006C759F">
        <w:t>FishEuTrust</w:t>
      </w:r>
      <w:proofErr w:type="spellEnd"/>
      <w:r w:rsidRPr="006C759F">
        <w:t>), Grant Agreement: 101060712/2022.</w:t>
      </w:r>
    </w:p>
    <w:p w14:paraId="4C3466B7" w14:textId="77777777" w:rsidR="006C759F" w:rsidRPr="006C759F" w:rsidRDefault="006C759F" w:rsidP="006C759F">
      <w:pPr>
        <w:spacing w:line="276" w:lineRule="auto"/>
        <w:jc w:val="both"/>
      </w:pPr>
    </w:p>
    <w:p w14:paraId="11556961" w14:textId="77777777" w:rsidR="006C759F" w:rsidRPr="006C759F" w:rsidRDefault="006C759F" w:rsidP="006C759F">
      <w:pPr>
        <w:spacing w:line="276" w:lineRule="auto"/>
        <w:jc w:val="both"/>
        <w:rPr>
          <w:b/>
          <w:bCs/>
        </w:rPr>
      </w:pPr>
      <w:r w:rsidRPr="006C759F">
        <w:rPr>
          <w:b/>
          <w:bCs/>
        </w:rPr>
        <w:t>References:</w:t>
      </w:r>
    </w:p>
    <w:p w14:paraId="14B85B20" w14:textId="77777777" w:rsidR="006C759F" w:rsidRPr="006C759F" w:rsidRDefault="006C759F" w:rsidP="006C759F">
      <w:pPr>
        <w:pStyle w:val="ListParagraph"/>
        <w:numPr>
          <w:ilvl w:val="0"/>
          <w:numId w:val="1"/>
        </w:numPr>
        <w:autoSpaceDE w:val="0"/>
        <w:autoSpaceDN w:val="0"/>
        <w:spacing w:after="0" w:line="276" w:lineRule="auto"/>
        <w:rPr>
          <w:rFonts w:ascii="Times New Roman" w:hAnsi="Times New Roman" w:cs="Times New Roman"/>
          <w:color w:val="000000"/>
          <w:sz w:val="20"/>
          <w:szCs w:val="20"/>
        </w:rPr>
      </w:pPr>
      <w:r w:rsidRPr="006C759F">
        <w:rPr>
          <w:rFonts w:ascii="Times New Roman" w:hAnsi="Times New Roman" w:cs="Times New Roman"/>
          <w:color w:val="000000"/>
          <w:sz w:val="20"/>
          <w:szCs w:val="20"/>
        </w:rPr>
        <w:t>A. Cernat, A. Groza, M. Tertis, B. Feier, O. Hosu-</w:t>
      </w:r>
      <w:proofErr w:type="spellStart"/>
      <w:r w:rsidRPr="006C759F">
        <w:rPr>
          <w:rFonts w:ascii="Times New Roman" w:hAnsi="Times New Roman" w:cs="Times New Roman"/>
          <w:color w:val="000000"/>
          <w:sz w:val="20"/>
          <w:szCs w:val="20"/>
        </w:rPr>
        <w:t>Stancioiu</w:t>
      </w:r>
      <w:proofErr w:type="spellEnd"/>
      <w:r w:rsidRPr="006C759F">
        <w:rPr>
          <w:rFonts w:ascii="Times New Roman" w:hAnsi="Times New Roman" w:cs="Times New Roman"/>
          <w:color w:val="000000"/>
          <w:sz w:val="20"/>
          <w:szCs w:val="20"/>
        </w:rPr>
        <w:t xml:space="preserve">, C. Cristea, </w:t>
      </w:r>
      <w:proofErr w:type="gramStart"/>
      <w:r w:rsidRPr="006C759F">
        <w:rPr>
          <w:rFonts w:ascii="Times New Roman" w:hAnsi="Times New Roman" w:cs="Times New Roman"/>
          <w:color w:val="000000"/>
          <w:sz w:val="20"/>
          <w:szCs w:val="20"/>
        </w:rPr>
        <w:t>Where</w:t>
      </w:r>
      <w:proofErr w:type="gramEnd"/>
      <w:r w:rsidRPr="006C759F">
        <w:rPr>
          <w:rFonts w:ascii="Times New Roman" w:hAnsi="Times New Roman" w:cs="Times New Roman"/>
          <w:color w:val="000000"/>
          <w:sz w:val="20"/>
          <w:szCs w:val="20"/>
        </w:rPr>
        <w:t xml:space="preserve"> artificial intelligence stands in the development of electrochemical sensors for healthcare applications-A review, </w:t>
      </w:r>
      <w:proofErr w:type="spellStart"/>
      <w:r w:rsidRPr="006C759F">
        <w:rPr>
          <w:rFonts w:ascii="Times New Roman" w:hAnsi="Times New Roman" w:cs="Times New Roman"/>
          <w:color w:val="000000"/>
          <w:sz w:val="20"/>
          <w:szCs w:val="20"/>
        </w:rPr>
        <w:t>TrAC</w:t>
      </w:r>
      <w:proofErr w:type="spellEnd"/>
      <w:r w:rsidRPr="006C759F">
        <w:rPr>
          <w:rFonts w:ascii="Times New Roman" w:hAnsi="Times New Roman" w:cs="Times New Roman"/>
          <w:color w:val="000000"/>
          <w:sz w:val="20"/>
          <w:szCs w:val="20"/>
        </w:rPr>
        <w:t xml:space="preserve"> - Trends in Analytical Chemistry 181 (2024). </w:t>
      </w:r>
    </w:p>
    <w:p w14:paraId="7F8C8688" w14:textId="77777777" w:rsidR="006C759F" w:rsidRPr="006C759F" w:rsidRDefault="006C759F" w:rsidP="006C759F">
      <w:pPr>
        <w:pStyle w:val="ListParagraph"/>
        <w:numPr>
          <w:ilvl w:val="0"/>
          <w:numId w:val="1"/>
        </w:numPr>
        <w:spacing w:after="0" w:line="276" w:lineRule="auto"/>
        <w:jc w:val="both"/>
        <w:rPr>
          <w:rFonts w:ascii="Times New Roman" w:hAnsi="Times New Roman" w:cs="Times New Roman"/>
          <w:sz w:val="20"/>
          <w:szCs w:val="20"/>
        </w:rPr>
      </w:pPr>
      <w:r w:rsidRPr="006C759F">
        <w:rPr>
          <w:rFonts w:ascii="Times New Roman" w:hAnsi="Times New Roman" w:cs="Times New Roman"/>
          <w:color w:val="000000"/>
          <w:sz w:val="20"/>
          <w:szCs w:val="20"/>
        </w:rPr>
        <w:t xml:space="preserve">A.M. Tataru, M.A. Stoica, A. Cernat, A. </w:t>
      </w:r>
      <w:proofErr w:type="spellStart"/>
      <w:r w:rsidRPr="006C759F">
        <w:rPr>
          <w:rFonts w:ascii="Times New Roman" w:hAnsi="Times New Roman" w:cs="Times New Roman"/>
          <w:color w:val="000000"/>
          <w:sz w:val="20"/>
          <w:szCs w:val="20"/>
        </w:rPr>
        <w:t>Falaus</w:t>
      </w:r>
      <w:proofErr w:type="spellEnd"/>
      <w:r w:rsidRPr="006C759F">
        <w:rPr>
          <w:rFonts w:ascii="Times New Roman" w:hAnsi="Times New Roman" w:cs="Times New Roman"/>
          <w:color w:val="000000"/>
          <w:sz w:val="20"/>
          <w:szCs w:val="20"/>
        </w:rPr>
        <w:t xml:space="preserve">, A. Groza, T. Casian, A. </w:t>
      </w:r>
      <w:proofErr w:type="spellStart"/>
      <w:r w:rsidRPr="006C759F">
        <w:rPr>
          <w:rFonts w:ascii="Times New Roman" w:hAnsi="Times New Roman" w:cs="Times New Roman"/>
          <w:color w:val="000000"/>
          <w:sz w:val="20"/>
          <w:szCs w:val="20"/>
        </w:rPr>
        <w:t>Canciu</w:t>
      </w:r>
      <w:proofErr w:type="spellEnd"/>
      <w:r w:rsidRPr="006C759F">
        <w:rPr>
          <w:rFonts w:ascii="Times New Roman" w:hAnsi="Times New Roman" w:cs="Times New Roman"/>
          <w:color w:val="000000"/>
          <w:sz w:val="20"/>
          <w:szCs w:val="20"/>
        </w:rPr>
        <w:t xml:space="preserve">, M. Tertis, A.D. Chiorean, C. Cristea, AI-assisted electrochemical detection of bacteria siderophores in clinical samples, Microchemical Journal 218 (2025) 115695. </w:t>
      </w:r>
    </w:p>
    <w:p w14:paraId="710321DE"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937EF"/>
    <w:multiLevelType w:val="hybridMultilevel"/>
    <w:tmpl w:val="9DCE5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1512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536366"/>
    <w:rsid w:val="00685C1A"/>
    <w:rsid w:val="00686343"/>
    <w:rsid w:val="006C759F"/>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C92660"/>
  <w14:defaultImageDpi w14:val="300"/>
  <w15:docId w15:val="{70F8CEF2-5BDB-4D66-A6EF-62E6AEC6A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759F"/>
    <w:pPr>
      <w:widowControl/>
      <w:spacing w:after="160" w:line="278" w:lineRule="auto"/>
      <w:ind w:left="720"/>
      <w:contextualSpacing/>
    </w:pPr>
    <w:rPr>
      <w:rFonts w:asciiTheme="minorHAnsi" w:eastAsiaTheme="minorHAnsi" w:hAnsiTheme="minorHAnsi" w:cstheme="minorBidi"/>
      <w:snapToGrid/>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Cecilia Cristea</cp:lastModifiedBy>
  <cp:revision>2</cp:revision>
  <cp:lastPrinted>2013-10-21T12:07:00Z</cp:lastPrinted>
  <dcterms:created xsi:type="dcterms:W3CDTF">2026-05-31T19:26:00Z</dcterms:created>
  <dcterms:modified xsi:type="dcterms:W3CDTF">2026-05-31T19:26:00Z</dcterms:modified>
</cp:coreProperties>
</file>