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B8817" w14:textId="4F49FC75" w:rsidR="00325004" w:rsidRPr="00A86EB9" w:rsidRDefault="00902B63" w:rsidP="00E0716D">
      <w:pPr>
        <w:jc w:val="center"/>
        <w:rPr>
          <w:b/>
          <w:sz w:val="28"/>
        </w:rPr>
      </w:pPr>
      <w:r w:rsidRPr="00902B63">
        <w:rPr>
          <w:b/>
          <w:sz w:val="28"/>
        </w:rPr>
        <w:t>Electrochemical Fingerprints of Active Sites in Transition Metal Oxides</w:t>
      </w:r>
    </w:p>
    <w:p w14:paraId="6B2B8818" w14:textId="1BEB374E" w:rsidR="00325004" w:rsidRDefault="00A21FF4" w:rsidP="00E0716D">
      <w:pPr>
        <w:jc w:val="center"/>
      </w:pPr>
      <w:r w:rsidRPr="00A21FF4">
        <w:rPr>
          <w:u w:val="single"/>
        </w:rPr>
        <w:t>D.J. Fermin</w:t>
      </w:r>
      <w:r>
        <w:rPr>
          <w:u w:val="single"/>
        </w:rPr>
        <w:t>,</w:t>
      </w:r>
      <w:r w:rsidRPr="00A21FF4">
        <w:rPr>
          <w:u w:val="single"/>
          <w:vertAlign w:val="superscript"/>
        </w:rPr>
        <w:t>1</w:t>
      </w:r>
      <w:r w:rsidRPr="00A21FF4">
        <w:rPr>
          <w:u w:val="single"/>
        </w:rPr>
        <w:t>*</w:t>
      </w:r>
      <w:r w:rsidR="00325004">
        <w:t xml:space="preserve"> </w:t>
      </w:r>
      <w:r w:rsidR="00722E70" w:rsidRPr="00722E70">
        <w:t>I. Khalek,</w:t>
      </w:r>
      <w:r w:rsidR="00722E70" w:rsidRPr="00722E70">
        <w:rPr>
          <w:vertAlign w:val="superscript"/>
        </w:rPr>
        <w:t>1</w:t>
      </w:r>
      <w:r w:rsidR="00722E70" w:rsidRPr="00722E70">
        <w:t xml:space="preserve"> S.M. Alharbi,</w:t>
      </w:r>
      <w:r w:rsidR="00722E70" w:rsidRPr="00722E70">
        <w:rPr>
          <w:vertAlign w:val="superscript"/>
        </w:rPr>
        <w:t>1</w:t>
      </w:r>
      <w:r w:rsidR="00722E70" w:rsidRPr="00722E70">
        <w:t xml:space="preserve"> W. Alsaidi,</w:t>
      </w:r>
      <w:r w:rsidR="00722E70" w:rsidRPr="00722E70">
        <w:rPr>
          <w:vertAlign w:val="superscript"/>
        </w:rPr>
        <w:t>1</w:t>
      </w:r>
      <w:r w:rsidR="00722E70" w:rsidRPr="00722E70">
        <w:t xml:space="preserve"> M.A. Alkhalifah,</w:t>
      </w:r>
      <w:r w:rsidR="00722E70" w:rsidRPr="00722E70">
        <w:rPr>
          <w:vertAlign w:val="superscript"/>
        </w:rPr>
        <w:t>1</w:t>
      </w:r>
      <w:r w:rsidR="00722E70" w:rsidRPr="00722E70">
        <w:t xml:space="preserve"> V. Celorrio</w:t>
      </w:r>
      <w:r w:rsidR="00722E70" w:rsidRPr="00722E70">
        <w:rPr>
          <w:vertAlign w:val="superscript"/>
        </w:rPr>
        <w:t>2</w:t>
      </w:r>
    </w:p>
    <w:p w14:paraId="1DF1CB40" w14:textId="77777777" w:rsidR="006279F3" w:rsidRPr="006279F3" w:rsidRDefault="006279F3" w:rsidP="006279F3">
      <w:pPr>
        <w:jc w:val="center"/>
        <w:rPr>
          <w:i/>
        </w:rPr>
      </w:pPr>
      <w:r w:rsidRPr="006279F3">
        <w:rPr>
          <w:i/>
          <w:vertAlign w:val="superscript"/>
        </w:rPr>
        <w:t>1</w:t>
      </w:r>
      <w:r w:rsidRPr="006279F3">
        <w:rPr>
          <w:i/>
        </w:rPr>
        <w:t xml:space="preserve"> School of Chemistry, University of Bristol, Bristol, (UK)</w:t>
      </w:r>
    </w:p>
    <w:p w14:paraId="600F1B2F" w14:textId="77777777" w:rsidR="006279F3" w:rsidRPr="006279F3" w:rsidRDefault="006279F3" w:rsidP="006279F3">
      <w:pPr>
        <w:jc w:val="center"/>
        <w:rPr>
          <w:i/>
        </w:rPr>
      </w:pPr>
      <w:r w:rsidRPr="006279F3">
        <w:rPr>
          <w:i/>
          <w:vertAlign w:val="superscript"/>
        </w:rPr>
        <w:t>2</w:t>
      </w:r>
      <w:r w:rsidRPr="006279F3">
        <w:rPr>
          <w:i/>
        </w:rPr>
        <w:t xml:space="preserve"> Diamond Light Source Ltd, Diamond House, Harwell Campus (UK)</w:t>
      </w:r>
    </w:p>
    <w:p w14:paraId="3E92B81C" w14:textId="77777777" w:rsidR="006279F3" w:rsidRPr="006279F3" w:rsidRDefault="006279F3" w:rsidP="006279F3">
      <w:pPr>
        <w:jc w:val="center"/>
        <w:rPr>
          <w:i/>
        </w:rPr>
      </w:pPr>
      <w:r w:rsidRPr="006279F3">
        <w:rPr>
          <w:i/>
        </w:rPr>
        <w:t>* david.fermin@bristol.ac.uk</w:t>
      </w:r>
    </w:p>
    <w:p w14:paraId="6B2B881C" w14:textId="77777777" w:rsidR="00325004" w:rsidRDefault="00325004" w:rsidP="00E0716D">
      <w:pPr>
        <w:jc w:val="center"/>
      </w:pPr>
    </w:p>
    <w:p w14:paraId="1E2902B0" w14:textId="77777777" w:rsidR="00331078" w:rsidRDefault="00331078" w:rsidP="00331078">
      <w:pPr>
        <w:jc w:val="both"/>
      </w:pPr>
      <w:r>
        <w:t>The establishment of guiding principles for electrocatalytic activity and the identification of active sites at transition metal oxide (TMO) electrodes remain formidable challenges. Compared to noble metals, the preparation of single-crystal electrodes with well-defined orientations is significantly more complex for TMOs containing three or more cations. Fundamentally, these materials often exhibit narrow d-bands and metal–insulator transitions associated with strong electron correlation.</w:t>
      </w:r>
    </w:p>
    <w:p w14:paraId="5143E066" w14:textId="77777777" w:rsidR="00331078" w:rsidRDefault="00331078" w:rsidP="00331078">
      <w:pPr>
        <w:jc w:val="both"/>
      </w:pPr>
    </w:p>
    <w:p w14:paraId="2658EE15" w14:textId="228E89A9" w:rsidR="00331078" w:rsidRDefault="00331078" w:rsidP="00331078">
      <w:pPr>
        <w:jc w:val="both"/>
      </w:pPr>
      <w:r>
        <w:t xml:space="preserve">To </w:t>
      </w:r>
      <w:proofErr w:type="spellStart"/>
      <w:r>
        <w:t>rationalise</w:t>
      </w:r>
      <w:proofErr w:type="spellEnd"/>
      <w:r>
        <w:t xml:space="preserve"> activity trends in oxygen reduction (ORR) and oxygen evolution reactions (OER), scaling relations are frequently invoked, assuming that the binding energies of reaction intermediates can be described independently of the oxide’s electronic configuration [1,2]. Alternative approaches have proposed correlations between catalytic activity and descriptors such as d-orbital occupancy, oxygen 1s band </w:t>
      </w:r>
      <w:proofErr w:type="spellStart"/>
      <w:r>
        <w:t>centre</w:t>
      </w:r>
      <w:proofErr w:type="spellEnd"/>
      <w:r>
        <w:t>, metal–oxygen covalency, and oxygen vacancy density derived from ex situ measurements or first-principles calculations [3–5]. However, these descriptors fail to capture critical interfacial phenomena under operating conditions, including changes in orbital occupancy [6–11], surface reconstruction [9,12], and dynamic variations in the local coordination of active sites [13].</w:t>
      </w:r>
    </w:p>
    <w:p w14:paraId="2F519802" w14:textId="77777777" w:rsidR="00331078" w:rsidRDefault="00331078" w:rsidP="00331078">
      <w:pPr>
        <w:jc w:val="both"/>
      </w:pPr>
    </w:p>
    <w:p w14:paraId="3CB274CB" w14:textId="34049840" w:rsidR="00331078" w:rsidRDefault="00331078" w:rsidP="00331078">
      <w:pPr>
        <w:jc w:val="both"/>
      </w:pPr>
      <w:r>
        <w:t xml:space="preserve">In this contribution, I demonstrate that potential-driven changes in d-orbital population in TMO particles are key determinants of electrocatalytic activity for both ORR and OER. New data on Mn-based perovskites with A-site cations Ca²⁺, La³⁺, Nd³⁺, Y³⁺, and Lu³⁺ reveal that Mn coordination induces the emergence of d-states near 1 V vs. RHE, which strongly governs ORR activity under alkaline conditions. In addition, composition-dependent trends in </w:t>
      </w:r>
      <w:proofErr w:type="spellStart"/>
      <w:r>
        <w:t>LaₓSr</w:t>
      </w:r>
      <w:proofErr w:type="spellEnd"/>
      <w:r>
        <w:t>₁₋ₓ</w:t>
      </w:r>
      <w:proofErr w:type="spellStart"/>
      <w:r>
        <w:t>CoO</w:t>
      </w:r>
      <w:proofErr w:type="spellEnd"/>
      <w:r>
        <w:t xml:space="preserve">₃ and </w:t>
      </w:r>
      <w:proofErr w:type="spellStart"/>
      <w:r>
        <w:t>LaₓNd</w:t>
      </w:r>
      <w:proofErr w:type="spellEnd"/>
      <w:r>
        <w:t>₁₋ₓ</w:t>
      </w:r>
      <w:proofErr w:type="spellStart"/>
      <w:r>
        <w:t>CoO</w:t>
      </w:r>
      <w:proofErr w:type="spellEnd"/>
      <w:r>
        <w:t>₃ for the OER show a direct correlation between activity and d-orbital population. Finally, the implications of these findings for reaction mechanisms and the nature of active sites in complex TMOs are discussed.</w:t>
      </w:r>
    </w:p>
    <w:p w14:paraId="46FB91CB" w14:textId="77777777" w:rsidR="00331078" w:rsidRDefault="00331078" w:rsidP="00331078">
      <w:pPr>
        <w:jc w:val="both"/>
      </w:pPr>
    </w:p>
    <w:p w14:paraId="25376F6E" w14:textId="0A14472F" w:rsidR="00331078" w:rsidRDefault="00331078" w:rsidP="00331078">
      <w:pPr>
        <w:jc w:val="both"/>
      </w:pPr>
      <w:r>
        <w:t>References</w:t>
      </w:r>
    </w:p>
    <w:p w14:paraId="0955258F" w14:textId="77777777" w:rsidR="00331078" w:rsidRDefault="00331078" w:rsidP="00331078">
      <w:pPr>
        <w:jc w:val="both"/>
      </w:pPr>
    </w:p>
    <w:p w14:paraId="5ABAA713" w14:textId="3C14E9AB" w:rsidR="00331078" w:rsidRDefault="00331078" w:rsidP="00331078">
      <w:pPr>
        <w:jc w:val="both"/>
      </w:pPr>
      <w:r>
        <w:t xml:space="preserve">[1] H. Li et al. Nature </w:t>
      </w:r>
      <w:proofErr w:type="spellStart"/>
      <w:r>
        <w:t>Catal</w:t>
      </w:r>
      <w:proofErr w:type="spellEnd"/>
      <w:r>
        <w:t>. 4, 2021, 463</w:t>
      </w:r>
    </w:p>
    <w:p w14:paraId="45A8751E" w14:textId="77777777" w:rsidR="00331078" w:rsidRDefault="00331078" w:rsidP="00331078">
      <w:pPr>
        <w:jc w:val="both"/>
      </w:pPr>
      <w:r>
        <w:t xml:space="preserve">[2] T. </w:t>
      </w:r>
      <w:proofErr w:type="spellStart"/>
      <w:r>
        <w:t>Kutlusoy</w:t>
      </w:r>
      <w:proofErr w:type="spellEnd"/>
      <w:r>
        <w:t xml:space="preserve"> et al. Chem. Sci. 13, 2022, 13879</w:t>
      </w:r>
    </w:p>
    <w:p w14:paraId="6AA1EB58" w14:textId="77777777" w:rsidR="00331078" w:rsidRDefault="00331078" w:rsidP="00331078">
      <w:pPr>
        <w:jc w:val="both"/>
      </w:pPr>
      <w:r>
        <w:t>[3] W.T Hong et al. Energy Environ. Sci. 10, 2017, 2190</w:t>
      </w:r>
    </w:p>
    <w:p w14:paraId="60CE7AF0" w14:textId="77777777" w:rsidR="00331078" w:rsidRDefault="00331078" w:rsidP="00331078">
      <w:pPr>
        <w:jc w:val="both"/>
      </w:pPr>
      <w:r>
        <w:t xml:space="preserve">[4] C. Hu et al. Adv. </w:t>
      </w:r>
      <w:proofErr w:type="spellStart"/>
      <w:r>
        <w:t>Funct</w:t>
      </w:r>
      <w:proofErr w:type="spellEnd"/>
      <w:r>
        <w:t>. Mater. 29, 2019, 1902449</w:t>
      </w:r>
    </w:p>
    <w:p w14:paraId="6C4F3F92" w14:textId="77777777" w:rsidR="00331078" w:rsidRDefault="00331078" w:rsidP="00331078">
      <w:pPr>
        <w:jc w:val="both"/>
      </w:pPr>
      <w:r>
        <w:t xml:space="preserve">[5] E. Marelli et al. </w:t>
      </w:r>
      <w:proofErr w:type="spellStart"/>
      <w:r>
        <w:t>Angew</w:t>
      </w:r>
      <w:proofErr w:type="spellEnd"/>
      <w:r>
        <w:t>. Chem. Int. Ed. 60, 2021, 14609</w:t>
      </w:r>
    </w:p>
    <w:p w14:paraId="3746C3F1" w14:textId="77777777" w:rsidR="00331078" w:rsidRDefault="00331078" w:rsidP="00331078">
      <w:pPr>
        <w:jc w:val="both"/>
      </w:pPr>
      <w:r>
        <w:t>[6] H.N. Nong et al. Nature 587, 2020, 408</w:t>
      </w:r>
    </w:p>
    <w:p w14:paraId="30D7D0CA" w14:textId="77777777" w:rsidR="00331078" w:rsidRDefault="00331078" w:rsidP="00331078">
      <w:pPr>
        <w:jc w:val="both"/>
      </w:pPr>
      <w:r>
        <w:t xml:space="preserve">[7] V. Celorrio et al. ACS </w:t>
      </w:r>
      <w:proofErr w:type="spellStart"/>
      <w:r>
        <w:t>Catal</w:t>
      </w:r>
      <w:proofErr w:type="spellEnd"/>
      <w:r>
        <w:t>. 11, 2021, 6431</w:t>
      </w:r>
    </w:p>
    <w:p w14:paraId="62719FDC" w14:textId="77777777" w:rsidR="00331078" w:rsidRDefault="00331078" w:rsidP="00331078">
      <w:pPr>
        <w:jc w:val="both"/>
      </w:pPr>
      <w:r>
        <w:t>[8] M.A. Alkhalifah et al. J. Am. Chem. Soc. 144, 2022, 4439</w:t>
      </w:r>
    </w:p>
    <w:p w14:paraId="3C0EA9E4" w14:textId="77777777" w:rsidR="00331078" w:rsidRDefault="00331078" w:rsidP="00331078">
      <w:pPr>
        <w:jc w:val="both"/>
      </w:pPr>
      <w:r>
        <w:t xml:space="preserve">[9] T. Wiegmann et al. ACS </w:t>
      </w:r>
      <w:proofErr w:type="spellStart"/>
      <w:r>
        <w:t>Catal</w:t>
      </w:r>
      <w:proofErr w:type="spellEnd"/>
      <w:r>
        <w:t>. 12, 2022, 3256</w:t>
      </w:r>
    </w:p>
    <w:p w14:paraId="19986A0B" w14:textId="77777777" w:rsidR="00331078" w:rsidRDefault="00331078" w:rsidP="00331078">
      <w:pPr>
        <w:jc w:val="both"/>
      </w:pPr>
      <w:r>
        <w:t>[10] V. Celorrio et al. ACS Electrochemistry. 2, 2026, 1190</w:t>
      </w:r>
    </w:p>
    <w:p w14:paraId="0728F626" w14:textId="77777777" w:rsidR="00331078" w:rsidRDefault="00331078" w:rsidP="00331078">
      <w:pPr>
        <w:jc w:val="both"/>
      </w:pPr>
      <w:r>
        <w:t xml:space="preserve">[11] W. Alsaidi et al. </w:t>
      </w:r>
      <w:proofErr w:type="spellStart"/>
      <w:r>
        <w:t>Electrochimica</w:t>
      </w:r>
      <w:proofErr w:type="spellEnd"/>
      <w:r>
        <w:t xml:space="preserve"> Acta 537, 2025, 146828</w:t>
      </w:r>
    </w:p>
    <w:p w14:paraId="4977D497" w14:textId="77777777" w:rsidR="00331078" w:rsidRDefault="00331078" w:rsidP="00331078">
      <w:pPr>
        <w:jc w:val="both"/>
      </w:pPr>
      <w:r>
        <w:t xml:space="preserve">[12] J Tyler Mefford et al. Nature 593, 2021, 67 </w:t>
      </w:r>
    </w:p>
    <w:p w14:paraId="6B2B882E" w14:textId="152374F5" w:rsidR="00325004" w:rsidRDefault="00331078" w:rsidP="00331078">
      <w:pPr>
        <w:jc w:val="both"/>
      </w:pPr>
      <w:r>
        <w:t>[13] S.M. Alharbi et al. ACS Mater. Au 4, 2024, 74</w:t>
      </w:r>
    </w:p>
    <w:p w14:paraId="6B2B882F"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325004"/>
    <w:rsid w:val="00331078"/>
    <w:rsid w:val="00536366"/>
    <w:rsid w:val="006279F3"/>
    <w:rsid w:val="00685C1A"/>
    <w:rsid w:val="00722E70"/>
    <w:rsid w:val="00902B63"/>
    <w:rsid w:val="00A21FF4"/>
    <w:rsid w:val="00D47894"/>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2B8816"/>
  <w14:defaultImageDpi w14:val="300"/>
  <w15:docId w15:val="{4626BDB1-A03F-4955-A2BC-2F309BABF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David Fermin</cp:lastModifiedBy>
  <cp:revision>7</cp:revision>
  <cp:lastPrinted>2013-10-21T12:07:00Z</cp:lastPrinted>
  <dcterms:created xsi:type="dcterms:W3CDTF">2021-03-10T13:20:00Z</dcterms:created>
  <dcterms:modified xsi:type="dcterms:W3CDTF">2026-06-05T11:32:00Z</dcterms:modified>
</cp:coreProperties>
</file>