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FC0C6" w14:textId="54434317" w:rsidR="00325004" w:rsidRPr="00A86EB9" w:rsidRDefault="00E82CA3" w:rsidP="00E0716D">
      <w:pPr>
        <w:jc w:val="center"/>
        <w:rPr>
          <w:b/>
          <w:sz w:val="28"/>
        </w:rPr>
      </w:pPr>
      <w:r w:rsidRPr="00E82CA3">
        <w:rPr>
          <w:b/>
          <w:sz w:val="28"/>
        </w:rPr>
        <w:t>Programmable Electrochemical Interfaces on Rapidly Manufacturable Carbon Electrodes</w:t>
      </w:r>
      <w:r>
        <w:rPr>
          <w:b/>
          <w:sz w:val="28"/>
        </w:rPr>
        <w:t xml:space="preserve"> for</w:t>
      </w:r>
      <w:r w:rsidRPr="00E82CA3">
        <w:rPr>
          <w:b/>
          <w:sz w:val="28"/>
        </w:rPr>
        <w:t xml:space="preserve"> Impedimetric </w:t>
      </w:r>
      <w:r w:rsidRPr="00E82CA3">
        <w:rPr>
          <w:b/>
          <w:i/>
          <w:iCs/>
          <w:sz w:val="28"/>
        </w:rPr>
        <w:t>E. coli</w:t>
      </w:r>
      <w:r w:rsidRPr="00E82CA3">
        <w:rPr>
          <w:b/>
          <w:sz w:val="28"/>
        </w:rPr>
        <w:t xml:space="preserve"> Biomarkers</w:t>
      </w:r>
      <w:r>
        <w:rPr>
          <w:b/>
          <w:sz w:val="28"/>
        </w:rPr>
        <w:t xml:space="preserve"> </w:t>
      </w:r>
      <w:r w:rsidRPr="00E82CA3">
        <w:rPr>
          <w:b/>
          <w:sz w:val="28"/>
        </w:rPr>
        <w:t>Detection</w:t>
      </w:r>
    </w:p>
    <w:p w14:paraId="10D31E82" w14:textId="77777777" w:rsidR="00325004" w:rsidRPr="00A86EB9" w:rsidRDefault="00325004" w:rsidP="00E0716D">
      <w:pPr>
        <w:jc w:val="center"/>
        <w:rPr>
          <w:b/>
          <w:sz w:val="28"/>
        </w:rPr>
      </w:pPr>
    </w:p>
    <w:p w14:paraId="0E462C02" w14:textId="026D6F5A" w:rsidR="00325004" w:rsidRDefault="00E82CA3" w:rsidP="00E0716D">
      <w:pPr>
        <w:jc w:val="center"/>
        <w:rPr>
          <w:vertAlign w:val="superscript"/>
        </w:rPr>
      </w:pPr>
      <w:r w:rsidRPr="00E82CA3">
        <w:t xml:space="preserve">Kornelia </w:t>
      </w:r>
      <w:proofErr w:type="spellStart"/>
      <w:r w:rsidRPr="00E82CA3">
        <w:t>Kozłowska</w:t>
      </w:r>
      <w:r w:rsidRPr="00E82CA3">
        <w:rPr>
          <w:vertAlign w:val="superscript"/>
        </w:rPr>
        <w:t>a</w:t>
      </w:r>
      <w:proofErr w:type="spellEnd"/>
      <w:r w:rsidRPr="00E82CA3">
        <w:t xml:space="preserve">, </w:t>
      </w:r>
      <w:r>
        <w:t>Aiswarya Manohar</w:t>
      </w:r>
      <w:r w:rsidRPr="00E82CA3">
        <w:rPr>
          <w:vertAlign w:val="superscript"/>
        </w:rPr>
        <w:t>b</w:t>
      </w:r>
      <w:r>
        <w:t>, Angelika Łepek</w:t>
      </w:r>
      <w:r w:rsidRPr="00E82CA3">
        <w:rPr>
          <w:vertAlign w:val="superscript"/>
        </w:rPr>
        <w:t>b</w:t>
      </w:r>
      <w:r>
        <w:t xml:space="preserve">, </w:t>
      </w:r>
      <w:r w:rsidRPr="00E82CA3">
        <w:t>Mohsen Khodadadi Yazdi</w:t>
      </w:r>
      <w:r w:rsidRPr="00E82CA3">
        <w:rPr>
          <w:vertAlign w:val="superscript"/>
        </w:rPr>
        <w:t>b</w:t>
      </w:r>
      <w:r w:rsidRPr="00E82CA3">
        <w:t xml:space="preserve">, </w:t>
      </w:r>
      <w:r w:rsidR="00A037AF">
        <w:br/>
      </w:r>
      <w:r>
        <w:t>Mattia Pierpaoli</w:t>
      </w:r>
      <w:r w:rsidRPr="00E82CA3">
        <w:rPr>
          <w:vertAlign w:val="superscript"/>
        </w:rPr>
        <w:t>b</w:t>
      </w:r>
      <w:r>
        <w:t>, Michael Hirtz</w:t>
      </w:r>
      <w:r w:rsidRPr="00E82CA3">
        <w:rPr>
          <w:vertAlign w:val="superscript"/>
        </w:rPr>
        <w:t>c</w:t>
      </w:r>
      <w:r>
        <w:t xml:space="preserve">, </w:t>
      </w:r>
      <w:r w:rsidRPr="00E82CA3">
        <w:t xml:space="preserve">Paweł </w:t>
      </w:r>
      <w:proofErr w:type="spellStart"/>
      <w:r w:rsidRPr="00E82CA3">
        <w:t>Niedziałkowski</w:t>
      </w:r>
      <w:r w:rsidRPr="00E82CA3">
        <w:rPr>
          <w:vertAlign w:val="superscript"/>
        </w:rPr>
        <w:t>a</w:t>
      </w:r>
      <w:proofErr w:type="spellEnd"/>
      <w:r>
        <w:t>,</w:t>
      </w:r>
      <w:r w:rsidRPr="00E82CA3">
        <w:rPr>
          <w:u w:val="single"/>
        </w:rPr>
        <w:t xml:space="preserve"> </w:t>
      </w:r>
      <w:r w:rsidRPr="00E82CA3">
        <w:rPr>
          <w:u w:val="single"/>
        </w:rPr>
        <w:t xml:space="preserve">Jacek </w:t>
      </w:r>
      <w:proofErr w:type="spellStart"/>
      <w:r w:rsidRPr="00E82CA3">
        <w:rPr>
          <w:u w:val="single"/>
        </w:rPr>
        <w:t>Ryl</w:t>
      </w:r>
      <w:r w:rsidRPr="00E82CA3">
        <w:rPr>
          <w:vertAlign w:val="superscript"/>
        </w:rPr>
        <w:t>b</w:t>
      </w:r>
      <w:proofErr w:type="spellEnd"/>
    </w:p>
    <w:p w14:paraId="3DC9808E" w14:textId="77777777" w:rsidR="00E82CA3" w:rsidRPr="00E82CA3" w:rsidRDefault="00E82CA3" w:rsidP="00E0716D">
      <w:pPr>
        <w:jc w:val="center"/>
      </w:pPr>
    </w:p>
    <w:p w14:paraId="351306D8" w14:textId="28A519E4" w:rsidR="00325004" w:rsidRPr="00E82CA3" w:rsidRDefault="00E82CA3" w:rsidP="00E0716D">
      <w:pPr>
        <w:jc w:val="center"/>
        <w:rPr>
          <w:i/>
          <w:sz w:val="18"/>
          <w:szCs w:val="18"/>
        </w:rPr>
      </w:pPr>
      <w:r w:rsidRPr="00E82CA3">
        <w:rPr>
          <w:i/>
          <w:sz w:val="18"/>
          <w:szCs w:val="18"/>
          <w:vertAlign w:val="superscript"/>
        </w:rPr>
        <w:t xml:space="preserve">a </w:t>
      </w:r>
      <w:r w:rsidRPr="00E82CA3">
        <w:rPr>
          <w:i/>
          <w:sz w:val="18"/>
          <w:szCs w:val="18"/>
        </w:rPr>
        <w:t xml:space="preserve">Faculty of Chemistry, University of </w:t>
      </w:r>
      <w:proofErr w:type="spellStart"/>
      <w:r w:rsidRPr="00E82CA3">
        <w:rPr>
          <w:i/>
          <w:sz w:val="18"/>
          <w:szCs w:val="18"/>
        </w:rPr>
        <w:t>Gdańsk</w:t>
      </w:r>
      <w:proofErr w:type="spellEnd"/>
      <w:r w:rsidRPr="00E82CA3">
        <w:rPr>
          <w:i/>
          <w:sz w:val="18"/>
          <w:szCs w:val="18"/>
        </w:rPr>
        <w:t xml:space="preserve">, </w:t>
      </w:r>
      <w:proofErr w:type="spellStart"/>
      <w:r w:rsidRPr="00E82CA3">
        <w:rPr>
          <w:i/>
          <w:sz w:val="18"/>
          <w:szCs w:val="18"/>
        </w:rPr>
        <w:t>Bażyńskiego</w:t>
      </w:r>
      <w:proofErr w:type="spellEnd"/>
      <w:r w:rsidRPr="00E82CA3">
        <w:rPr>
          <w:i/>
          <w:sz w:val="18"/>
          <w:szCs w:val="18"/>
        </w:rPr>
        <w:t xml:space="preserve"> 8</w:t>
      </w:r>
      <w:r w:rsidRPr="00E82CA3">
        <w:rPr>
          <w:i/>
          <w:sz w:val="18"/>
          <w:szCs w:val="18"/>
        </w:rPr>
        <w:t xml:space="preserve">, </w:t>
      </w:r>
      <w:r w:rsidRPr="00E82CA3">
        <w:rPr>
          <w:i/>
          <w:sz w:val="18"/>
          <w:szCs w:val="18"/>
        </w:rPr>
        <w:t xml:space="preserve">80-309 </w:t>
      </w:r>
      <w:proofErr w:type="spellStart"/>
      <w:r w:rsidRPr="00E82CA3">
        <w:rPr>
          <w:i/>
          <w:sz w:val="18"/>
          <w:szCs w:val="18"/>
        </w:rPr>
        <w:t>Gdańsk</w:t>
      </w:r>
      <w:proofErr w:type="spellEnd"/>
      <w:r w:rsidRPr="00E82CA3">
        <w:rPr>
          <w:i/>
          <w:sz w:val="18"/>
          <w:szCs w:val="18"/>
        </w:rPr>
        <w:t>, Poland</w:t>
      </w:r>
    </w:p>
    <w:p w14:paraId="65A437EF" w14:textId="60484F27" w:rsidR="00E82CA3" w:rsidRDefault="00E82CA3" w:rsidP="00E0716D">
      <w:pPr>
        <w:jc w:val="center"/>
        <w:rPr>
          <w:i/>
          <w:sz w:val="18"/>
          <w:szCs w:val="18"/>
        </w:rPr>
      </w:pPr>
      <w:r w:rsidRPr="00E82CA3">
        <w:rPr>
          <w:i/>
          <w:sz w:val="18"/>
          <w:szCs w:val="18"/>
          <w:vertAlign w:val="superscript"/>
        </w:rPr>
        <w:t>b</w:t>
      </w:r>
      <w:r w:rsidRPr="00E82CA3">
        <w:rPr>
          <w:i/>
          <w:sz w:val="18"/>
          <w:szCs w:val="18"/>
        </w:rPr>
        <w:t xml:space="preserve"> </w:t>
      </w:r>
      <w:proofErr w:type="spellStart"/>
      <w:r w:rsidRPr="00E82CA3">
        <w:rPr>
          <w:i/>
          <w:sz w:val="18"/>
          <w:szCs w:val="18"/>
        </w:rPr>
        <w:t>Gdańsk</w:t>
      </w:r>
      <w:proofErr w:type="spellEnd"/>
      <w:r w:rsidRPr="00E82CA3">
        <w:rPr>
          <w:i/>
          <w:sz w:val="18"/>
          <w:szCs w:val="18"/>
        </w:rPr>
        <w:t xml:space="preserve"> University of Technology, </w:t>
      </w:r>
      <w:proofErr w:type="spellStart"/>
      <w:r w:rsidRPr="00E82CA3">
        <w:rPr>
          <w:i/>
          <w:sz w:val="18"/>
          <w:szCs w:val="18"/>
        </w:rPr>
        <w:t>Narutowicza</w:t>
      </w:r>
      <w:proofErr w:type="spellEnd"/>
      <w:r w:rsidRPr="00E82CA3">
        <w:rPr>
          <w:i/>
          <w:sz w:val="18"/>
          <w:szCs w:val="18"/>
        </w:rPr>
        <w:t xml:space="preserve"> 11/12, 80-233 </w:t>
      </w:r>
      <w:proofErr w:type="spellStart"/>
      <w:r w:rsidRPr="00E82CA3">
        <w:rPr>
          <w:i/>
          <w:sz w:val="18"/>
          <w:szCs w:val="18"/>
        </w:rPr>
        <w:t>Gdańsk</w:t>
      </w:r>
      <w:proofErr w:type="spellEnd"/>
      <w:r w:rsidRPr="00E82CA3">
        <w:rPr>
          <w:i/>
          <w:sz w:val="18"/>
          <w:szCs w:val="18"/>
        </w:rPr>
        <w:t>, Poland</w:t>
      </w:r>
    </w:p>
    <w:p w14:paraId="2805B9BB" w14:textId="67CD9F9A" w:rsidR="00E82CA3" w:rsidRPr="00E82CA3" w:rsidRDefault="00E82CA3" w:rsidP="00E0716D">
      <w:pPr>
        <w:jc w:val="center"/>
        <w:rPr>
          <w:i/>
          <w:sz w:val="18"/>
          <w:szCs w:val="18"/>
        </w:rPr>
      </w:pPr>
      <w:r w:rsidRPr="00E82CA3">
        <w:rPr>
          <w:i/>
          <w:sz w:val="18"/>
          <w:szCs w:val="18"/>
          <w:vertAlign w:val="superscript"/>
        </w:rPr>
        <w:t>c</w:t>
      </w:r>
      <w:r>
        <w:rPr>
          <w:i/>
          <w:sz w:val="18"/>
          <w:szCs w:val="18"/>
        </w:rPr>
        <w:t xml:space="preserve"> </w:t>
      </w:r>
      <w:r w:rsidRPr="00E82CA3">
        <w:rPr>
          <w:i/>
          <w:sz w:val="18"/>
          <w:szCs w:val="18"/>
        </w:rPr>
        <w:t>Institute of Nanotechnology</w:t>
      </w:r>
      <w:r>
        <w:rPr>
          <w:i/>
          <w:sz w:val="18"/>
          <w:szCs w:val="18"/>
        </w:rPr>
        <w:t xml:space="preserve">, </w:t>
      </w:r>
      <w:r w:rsidRPr="00E82CA3">
        <w:rPr>
          <w:i/>
          <w:sz w:val="18"/>
          <w:szCs w:val="18"/>
        </w:rPr>
        <w:t>Karlsruhe Institute of Technology</w:t>
      </w:r>
      <w:r>
        <w:rPr>
          <w:i/>
          <w:sz w:val="18"/>
          <w:szCs w:val="18"/>
        </w:rPr>
        <w:t xml:space="preserve">, </w:t>
      </w:r>
      <w:r w:rsidRPr="00E82CA3">
        <w:rPr>
          <w:i/>
          <w:sz w:val="18"/>
          <w:szCs w:val="18"/>
        </w:rPr>
        <w:t>Hermann-von-Helmholtz-Platz 176344, Germany</w:t>
      </w:r>
    </w:p>
    <w:p w14:paraId="5FC9B22D" w14:textId="31AE30B9" w:rsidR="00685C1A" w:rsidRPr="00E82CA3" w:rsidRDefault="00E82CA3" w:rsidP="00E0716D">
      <w:pPr>
        <w:jc w:val="center"/>
        <w:rPr>
          <w:i/>
          <w:sz w:val="18"/>
          <w:szCs w:val="18"/>
        </w:rPr>
      </w:pPr>
      <w:hyperlink r:id="rId4" w:history="1">
        <w:r w:rsidRPr="00E82CA3">
          <w:rPr>
            <w:rStyle w:val="Hipercze"/>
            <w:i/>
            <w:sz w:val="18"/>
            <w:szCs w:val="18"/>
          </w:rPr>
          <w:t>jacek.ryl@pg.edu.pl</w:t>
        </w:r>
      </w:hyperlink>
      <w:r w:rsidRPr="00E82CA3">
        <w:rPr>
          <w:i/>
          <w:sz w:val="18"/>
          <w:szCs w:val="18"/>
        </w:rPr>
        <w:t xml:space="preserve"> </w:t>
      </w:r>
    </w:p>
    <w:p w14:paraId="57C54568" w14:textId="77777777" w:rsidR="00325004" w:rsidRDefault="00325004" w:rsidP="00E0716D">
      <w:pPr>
        <w:jc w:val="center"/>
      </w:pPr>
    </w:p>
    <w:p w14:paraId="3764AF87" w14:textId="5136AB5A" w:rsidR="00E82CA3" w:rsidRDefault="00E82CA3" w:rsidP="00E0716D">
      <w:pPr>
        <w:jc w:val="both"/>
      </w:pPr>
      <w:r w:rsidRPr="00E82CA3">
        <w:t xml:space="preserve">Rapidly manufacturable carbon electrodes offer a promising route towards low-cost and scalable electrochemical sensing platforms. Among these materials, laser-induced graphene (LIG) is particularly attractive due to its direct patterning, porous architecture and compatibility with flexible substrates. However, the analytical performance of LIG electrodes is frequently limited by intrinsic structural heterogeneity, insufficient control over surface chemistry and batch-to-batch variability. These challenges become particularly important in biosensing. </w:t>
      </w:r>
      <w:r w:rsidR="00A037AF">
        <w:t>Our group developed</w:t>
      </w:r>
      <w:r w:rsidRPr="00E82CA3">
        <w:t xml:space="preserve"> a modular approach to the engineering of carbon electrode interfaces, with particular emphasis on LIG-based platforms. Metal nanoparticles, conductive polymers and functional hydrogels </w:t>
      </w:r>
      <w:r>
        <w:t xml:space="preserve">are proposed as strategies for surface </w:t>
      </w:r>
      <w:r w:rsidRPr="00E82CA3">
        <w:t xml:space="preserve">engineering </w:t>
      </w:r>
      <w:r>
        <w:t>LIGs</w:t>
      </w:r>
      <w:r w:rsidRPr="00E82CA3">
        <w:t xml:space="preserve"> by introducing catalytic sites for signal amplification, electroactive matrices for covalent immobili</w:t>
      </w:r>
      <w:r w:rsidR="00A037AF">
        <w:t>z</w:t>
      </w:r>
      <w:r w:rsidRPr="00E82CA3">
        <w:t>ation of bioreceptors</w:t>
      </w:r>
      <w:r>
        <w:t xml:space="preserve"> offering </w:t>
      </w:r>
      <w:r w:rsidRPr="00E82CA3">
        <w:t>resistance to biofouling, and diffusion-controlling layers that promote electrostatic preconcentration.</w:t>
      </w:r>
    </w:p>
    <w:p w14:paraId="30FE15F6" w14:textId="55DA4921" w:rsidR="00E82CA3" w:rsidRDefault="00E82CA3" w:rsidP="00E0716D">
      <w:pPr>
        <w:jc w:val="both"/>
      </w:pPr>
    </w:p>
    <w:p w14:paraId="1D0C82B1" w14:textId="77777777" w:rsidR="00A037AF" w:rsidRDefault="00A037AF" w:rsidP="00E0716D">
      <w:pPr>
        <w:jc w:val="both"/>
      </w:pPr>
      <w:r w:rsidRPr="00A037AF">
        <w:t>As a representative case study, we explore carboxyl-functionali</w:t>
      </w:r>
      <w:r>
        <w:t>z</w:t>
      </w:r>
      <w:r w:rsidRPr="00A037AF">
        <w:t>ed PEDOT as a tunable receptor-bearing interface on rapidly manufacturable carbon electrodes. The introduction of –COOH groups improves the aqueous processability of the EDOT derivative</w:t>
      </w:r>
      <w:r>
        <w:t xml:space="preserve">, offering </w:t>
      </w:r>
      <w:r w:rsidRPr="00A037AF">
        <w:t>accessible anchoring sites for covalent receptor immobili</w:t>
      </w:r>
      <w:r>
        <w:t>z</w:t>
      </w:r>
      <w:r w:rsidRPr="00A037AF">
        <w:t>ation, while simultaneously creating a need for careful stabili</w:t>
      </w:r>
      <w:r>
        <w:t>z</w:t>
      </w:r>
      <w:r w:rsidRPr="00A037AF">
        <w:t>ation of the deposited polymer layer. We demonstrate how the formation</w:t>
      </w:r>
      <w:r>
        <w:t xml:space="preserve"> </w:t>
      </w:r>
      <w:r w:rsidRPr="00A037AF">
        <w:t>and subsequent biofunctionali</w:t>
      </w:r>
      <w:r>
        <w:t>z</w:t>
      </w:r>
      <w:r w:rsidRPr="00A037AF">
        <w:t xml:space="preserve">ation of this interfacial layer can be followed electrochemically, providing insight into the evolution of its charge-transfer properties and enabling rational adjustment of the receptor interface. The three-dimensional porous architecture of LIG is particularly advantageous in this context, as it offers a high-area scaffold on which the thickness, functional-group density and spatial distribution of the polymer layer can be tuned for impedimetric recognition of </w:t>
      </w:r>
      <w:r w:rsidRPr="00A037AF">
        <w:rPr>
          <w:i/>
          <w:iCs/>
        </w:rPr>
        <w:t>E. coli</w:t>
      </w:r>
      <w:r w:rsidRPr="00A037AF">
        <w:t>-associated biomarkers.</w:t>
      </w:r>
    </w:p>
    <w:p w14:paraId="56868A1D" w14:textId="77777777" w:rsidR="00A037AF" w:rsidRDefault="00A037AF" w:rsidP="00E0716D">
      <w:pPr>
        <w:jc w:val="both"/>
      </w:pPr>
    </w:p>
    <w:p w14:paraId="786A84FF" w14:textId="03FE86D0" w:rsidR="00E82CA3" w:rsidRDefault="00A037AF" w:rsidP="00E0716D">
      <w:pPr>
        <w:jc w:val="both"/>
      </w:pPr>
      <w:r>
        <w:t>Our</w:t>
      </w:r>
      <w:r w:rsidR="00E82CA3" w:rsidRPr="00E82CA3">
        <w:t xml:space="preserve"> approach creates a toolbox for the rational design of programmable electrochemical interfaces and supports the development of multielectrode platforms for multiplexed recognition of bacterial markers in complex samples.</w:t>
      </w:r>
    </w:p>
    <w:p w14:paraId="0FB4577A" w14:textId="77777777" w:rsidR="00325004" w:rsidRDefault="00325004" w:rsidP="00E0716D">
      <w:pPr>
        <w:jc w:val="both"/>
      </w:pPr>
    </w:p>
    <w:p w14:paraId="71147B2F" w14:textId="4F2FA2DC" w:rsidR="00E0716D" w:rsidRDefault="006B453B" w:rsidP="00E0716D">
      <w:pPr>
        <w:jc w:val="both"/>
      </w:pPr>
      <w:r>
        <w:t xml:space="preserve">Acknowledgement: </w:t>
      </w:r>
      <w:r w:rsidRPr="006B453B">
        <w:t>This work was supported by the National Science Centre (Republic of Poland) under Project 2023/51/I/ST7/01948</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325004"/>
    <w:rsid w:val="00536366"/>
    <w:rsid w:val="00685C1A"/>
    <w:rsid w:val="006B453B"/>
    <w:rsid w:val="00A037AF"/>
    <w:rsid w:val="00E0716D"/>
    <w:rsid w:val="00E56583"/>
    <w:rsid w:val="00E82CA3"/>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48B417"/>
  <w14:defaultImageDpi w14:val="300"/>
  <w15:docId w15:val="{AEE1CB1D-B670-44CE-89A4-53478149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82CA3"/>
    <w:rPr>
      <w:color w:val="0000FF" w:themeColor="hyperlink"/>
      <w:u w:val="single"/>
    </w:rPr>
  </w:style>
  <w:style w:type="character" w:styleId="Nierozpoznanawzmianka">
    <w:name w:val="Unresolved Mention"/>
    <w:basedOn w:val="Domylnaczcionkaakapitu"/>
    <w:uiPriority w:val="99"/>
    <w:semiHidden/>
    <w:unhideWhenUsed/>
    <w:rsid w:val="00E82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cek.ryl@pg.ed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438</Words>
  <Characters>2567</Characters>
  <Application>Microsoft Office Word</Application>
  <DocSecurity>0</DocSecurity>
  <Lines>91</Lines>
  <Paragraphs>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Jacek Ryl</cp:lastModifiedBy>
  <cp:revision>4</cp:revision>
  <cp:lastPrinted>2013-10-21T12:07:00Z</cp:lastPrinted>
  <dcterms:created xsi:type="dcterms:W3CDTF">2021-03-10T13:20:00Z</dcterms:created>
  <dcterms:modified xsi:type="dcterms:W3CDTF">2026-05-31T06:13:00Z</dcterms:modified>
</cp:coreProperties>
</file>