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5CBC5" w14:textId="2619101C" w:rsidR="001E04CC" w:rsidRPr="00A949B6" w:rsidRDefault="001E04CC" w:rsidP="00A949B6">
      <w:pPr>
        <w:jc w:val="center"/>
        <w:rPr>
          <w:b/>
          <w:sz w:val="28"/>
        </w:rPr>
      </w:pPr>
      <w:r w:rsidRPr="001E04CC">
        <w:rPr>
          <w:b/>
          <w:sz w:val="28"/>
        </w:rPr>
        <w:t>Transient NiFe</w:t>
      </w:r>
      <w:r w:rsidR="00864C88" w:rsidRPr="00864C88">
        <w:rPr>
          <w:rFonts w:hint="eastAsia"/>
          <w:b/>
          <w:sz w:val="28"/>
          <w:vertAlign w:val="subscript"/>
          <w:lang w:eastAsia="zh-CN"/>
        </w:rPr>
        <w:t>2</w:t>
      </w:r>
      <w:r w:rsidRPr="001E04CC">
        <w:rPr>
          <w:b/>
          <w:sz w:val="28"/>
        </w:rPr>
        <w:t>O</w:t>
      </w:r>
      <w:r w:rsidR="00864C88" w:rsidRPr="00864C88">
        <w:rPr>
          <w:rFonts w:hint="eastAsia"/>
          <w:b/>
          <w:sz w:val="28"/>
          <w:vertAlign w:val="subscript"/>
          <w:lang w:eastAsia="zh-CN"/>
        </w:rPr>
        <w:t>4</w:t>
      </w:r>
      <w:r w:rsidRPr="001E04CC">
        <w:rPr>
          <w:b/>
          <w:sz w:val="28"/>
        </w:rPr>
        <w:t>/ZnO Heterojunction Interfaces for Mechanically and Optically Coupled Catalysis</w:t>
      </w:r>
    </w:p>
    <w:p w14:paraId="4CD58DC0" w14:textId="77777777" w:rsidR="00325004" w:rsidRPr="00C91094" w:rsidRDefault="00325004" w:rsidP="00C91094">
      <w:pPr>
        <w:jc w:val="center"/>
        <w:rPr>
          <w:b/>
          <w:sz w:val="28"/>
          <w:lang w:eastAsia="zh-CN"/>
        </w:rPr>
      </w:pPr>
    </w:p>
    <w:p w14:paraId="66DDD7C7" w14:textId="1187BC62" w:rsidR="00557C8D" w:rsidRDefault="0042404E" w:rsidP="0042404E">
      <w:pPr>
        <w:widowControl/>
        <w:suppressAutoHyphens/>
        <w:jc w:val="center"/>
        <w:rPr>
          <w:kern w:val="22"/>
        </w:rPr>
      </w:pPr>
      <w:r w:rsidRPr="00C91094">
        <w:rPr>
          <w:rFonts w:eastAsia="PMingLiU"/>
          <w:u w:val="single"/>
        </w:rPr>
        <w:t>Xinyu Jin</w:t>
      </w:r>
      <w:r w:rsidRPr="00C91094">
        <w:rPr>
          <w:rFonts w:eastAsia="PMingLiU"/>
          <w:iCs/>
          <w:kern w:val="22"/>
          <w:vertAlign w:val="superscript"/>
        </w:rPr>
        <w:t>1</w:t>
      </w:r>
      <w:r w:rsidRPr="00C91094">
        <w:rPr>
          <w:rFonts w:eastAsia="PMingLiU"/>
        </w:rPr>
        <w:t xml:space="preserve">, </w:t>
      </w:r>
      <w:r w:rsidRPr="00C91094">
        <w:rPr>
          <w:rFonts w:eastAsia="PMingLiU"/>
          <w:kern w:val="22"/>
        </w:rPr>
        <w:t>Chun-Yi Chen</w:t>
      </w:r>
      <w:r w:rsidRPr="00C91094">
        <w:rPr>
          <w:rFonts w:eastAsia="PMingLiU"/>
          <w:iCs/>
          <w:kern w:val="22"/>
          <w:vertAlign w:val="superscript"/>
        </w:rPr>
        <w:t>1,2</w:t>
      </w:r>
      <w:r w:rsidRPr="00C91094">
        <w:rPr>
          <w:rFonts w:eastAsia="PMingLiU"/>
          <w:kern w:val="22"/>
        </w:rPr>
        <w:t>,</w:t>
      </w:r>
      <w:r w:rsidRPr="00C91094">
        <w:rPr>
          <w:kern w:val="22"/>
          <w:lang w:eastAsia="zh-CN"/>
        </w:rPr>
        <w:t xml:space="preserve"> </w:t>
      </w:r>
      <w:r w:rsidRPr="00C91094">
        <w:rPr>
          <w:rFonts w:eastAsia="PMingLiU"/>
          <w:kern w:val="22"/>
          <w:lang w:eastAsia="en-GB"/>
        </w:rPr>
        <w:t>Tomoyuki Kurioka</w:t>
      </w:r>
      <w:r w:rsidRPr="00C91094">
        <w:rPr>
          <w:rFonts w:eastAsia="PMingLiU"/>
          <w:iCs/>
          <w:kern w:val="22"/>
          <w:vertAlign w:val="superscript"/>
        </w:rPr>
        <w:t>1,2</w:t>
      </w:r>
      <w:r w:rsidRPr="00C91094">
        <w:rPr>
          <w:rFonts w:eastAsia="PMingLiU"/>
        </w:rPr>
        <w:t>,</w:t>
      </w:r>
      <w:r w:rsidRPr="00C91094">
        <w:rPr>
          <w:rFonts w:eastAsia="PMingLiU"/>
          <w:kern w:val="22"/>
        </w:rPr>
        <w:t xml:space="preserve"> </w:t>
      </w:r>
      <w:r w:rsidR="00671D21">
        <w:rPr>
          <w:rFonts w:hint="eastAsia"/>
          <w:kern w:val="22"/>
          <w:lang w:eastAsia="zh-CN"/>
        </w:rPr>
        <w:t>Gen Hikosaka</w:t>
      </w:r>
      <w:r w:rsidR="00671D21" w:rsidRPr="00C91094">
        <w:rPr>
          <w:rFonts w:eastAsia="PMingLiU"/>
          <w:iCs/>
          <w:kern w:val="22"/>
          <w:vertAlign w:val="superscript"/>
        </w:rPr>
        <w:t>1,2</w:t>
      </w:r>
      <w:r w:rsidR="00671D21" w:rsidRPr="00C91094">
        <w:rPr>
          <w:rFonts w:eastAsia="PMingLiU"/>
        </w:rPr>
        <w:t>,</w:t>
      </w:r>
      <w:r w:rsidR="00671D21">
        <w:rPr>
          <w:rFonts w:hint="eastAsia"/>
          <w:lang w:eastAsia="zh-CN"/>
        </w:rPr>
        <w:t xml:space="preserve"> </w:t>
      </w:r>
      <w:r w:rsidRPr="00C91094">
        <w:rPr>
          <w:rFonts w:eastAsia="PMingLiU"/>
        </w:rPr>
        <w:t>Masato Sone</w:t>
      </w:r>
      <w:r w:rsidRPr="00C91094">
        <w:rPr>
          <w:rFonts w:eastAsia="PMingLiU"/>
          <w:iCs/>
          <w:kern w:val="22"/>
          <w:vertAlign w:val="superscript"/>
        </w:rPr>
        <w:t>1</w:t>
      </w:r>
      <w:r w:rsidRPr="00C91094">
        <w:rPr>
          <w:rFonts w:eastAsia="PMingLiU"/>
        </w:rPr>
        <w:t>,</w:t>
      </w:r>
      <w:r w:rsidRPr="00C91094">
        <w:rPr>
          <w:rFonts w:eastAsia="PMingLiU"/>
          <w:color w:val="000000"/>
          <w:kern w:val="24"/>
          <w:lang w:eastAsia="zh-TW"/>
        </w:rPr>
        <w:t xml:space="preserve"> </w:t>
      </w:r>
      <w:r w:rsidRPr="00C91094">
        <w:rPr>
          <w:kern w:val="22"/>
        </w:rPr>
        <w:t>Yung-Jung Hsu</w:t>
      </w:r>
      <w:r w:rsidRPr="00C91094">
        <w:rPr>
          <w:iCs/>
          <w:kern w:val="22"/>
          <w:vertAlign w:val="superscript"/>
        </w:rPr>
        <w:t>1,2,3</w:t>
      </w:r>
      <w:r w:rsidRPr="00C91094">
        <w:rPr>
          <w:kern w:val="22"/>
        </w:rPr>
        <w:t xml:space="preserve">, </w:t>
      </w:r>
    </w:p>
    <w:p w14:paraId="60ED963D" w14:textId="2DF68F22" w:rsidR="0042404E" w:rsidRPr="00C91094" w:rsidRDefault="0042404E" w:rsidP="0042404E">
      <w:pPr>
        <w:widowControl/>
        <w:suppressAutoHyphens/>
        <w:jc w:val="center"/>
        <w:rPr>
          <w:rFonts w:eastAsia="PMingLiU"/>
          <w:iCs/>
          <w:kern w:val="22"/>
          <w:vertAlign w:val="superscript"/>
        </w:rPr>
      </w:pPr>
      <w:r w:rsidRPr="00C91094">
        <w:rPr>
          <w:kern w:val="22"/>
        </w:rPr>
        <w:t>Satoshi Okamoto</w:t>
      </w:r>
      <w:r w:rsidRPr="00C91094">
        <w:rPr>
          <w:iCs/>
          <w:kern w:val="22"/>
          <w:vertAlign w:val="superscript"/>
        </w:rPr>
        <w:t>1,2</w:t>
      </w:r>
      <w:r w:rsidRPr="00C91094">
        <w:rPr>
          <w:kern w:val="22"/>
        </w:rPr>
        <w:t>, Tso-Fu Mark Chang</w:t>
      </w:r>
      <w:r w:rsidRPr="00C91094">
        <w:rPr>
          <w:iCs/>
          <w:kern w:val="22"/>
          <w:vertAlign w:val="superscript"/>
        </w:rPr>
        <w:t>1,2</w:t>
      </w:r>
    </w:p>
    <w:p w14:paraId="15A993FB" w14:textId="1A794430" w:rsidR="0042404E" w:rsidRPr="00C91094" w:rsidRDefault="0042404E" w:rsidP="0042404E">
      <w:pPr>
        <w:jc w:val="center"/>
        <w:rPr>
          <w:i/>
          <w:iCs/>
        </w:rPr>
      </w:pPr>
      <w:r w:rsidRPr="00C91094">
        <w:rPr>
          <w:iCs/>
          <w:vertAlign w:val="superscript"/>
        </w:rPr>
        <w:t>1</w:t>
      </w:r>
      <w:r w:rsidRPr="00C91094">
        <w:rPr>
          <w:iCs/>
        </w:rPr>
        <w:t xml:space="preserve"> </w:t>
      </w:r>
      <w:r w:rsidR="001B3B53" w:rsidRPr="00C91094">
        <w:rPr>
          <w:i/>
          <w:iCs/>
        </w:rPr>
        <w:t>Materials and Structures Laboratory, Institute of Integrated Research, Institute of Science Tokyo, Kanagawa 226-8503, Japan</w:t>
      </w:r>
      <w:r w:rsidRPr="00C91094">
        <w:rPr>
          <w:i/>
        </w:rPr>
        <w:t xml:space="preserve"> </w:t>
      </w:r>
    </w:p>
    <w:p w14:paraId="259EB44A" w14:textId="0B9457C6" w:rsidR="0042404E" w:rsidRPr="00C91094" w:rsidRDefault="0042404E" w:rsidP="0042404E">
      <w:pPr>
        <w:jc w:val="center"/>
        <w:rPr>
          <w:i/>
          <w:iCs/>
        </w:rPr>
      </w:pPr>
      <w:r w:rsidRPr="00C91094">
        <w:rPr>
          <w:iCs/>
          <w:vertAlign w:val="superscript"/>
        </w:rPr>
        <w:t>2</w:t>
      </w:r>
      <w:r w:rsidRPr="00C91094">
        <w:rPr>
          <w:i/>
          <w:iCs/>
          <w:vertAlign w:val="superscript"/>
        </w:rPr>
        <w:t xml:space="preserve"> </w:t>
      </w:r>
      <w:r w:rsidRPr="00C91094">
        <w:rPr>
          <w:i/>
          <w:iCs/>
        </w:rPr>
        <w:t xml:space="preserve">Sumitomo Chemical Next-Generation Eco-Friendly Devices Collaborative Research Cluster, </w:t>
      </w:r>
      <w:r w:rsidR="00727F3D" w:rsidRPr="00727F3D">
        <w:rPr>
          <w:i/>
          <w:iCs/>
        </w:rPr>
        <w:t>Institute of Science Tokyo</w:t>
      </w:r>
      <w:r w:rsidRPr="00C91094">
        <w:rPr>
          <w:i/>
          <w:iCs/>
          <w:lang w:eastAsia="zh-CN"/>
        </w:rPr>
        <w:t xml:space="preserve">, </w:t>
      </w:r>
      <w:r w:rsidRPr="00C91094">
        <w:rPr>
          <w:i/>
        </w:rPr>
        <w:t>Kanagawa 226-8503, Japan</w:t>
      </w:r>
    </w:p>
    <w:p w14:paraId="547745E3" w14:textId="77777777" w:rsidR="0042404E" w:rsidRPr="00C91094" w:rsidRDefault="0042404E" w:rsidP="0042404E">
      <w:pPr>
        <w:jc w:val="center"/>
        <w:rPr>
          <w:i/>
          <w:iCs/>
          <w:lang w:eastAsia="zh-CN"/>
        </w:rPr>
      </w:pPr>
      <w:r w:rsidRPr="00C91094">
        <w:rPr>
          <w:iCs/>
          <w:vertAlign w:val="superscript"/>
        </w:rPr>
        <w:t>3</w:t>
      </w:r>
      <w:r w:rsidRPr="00C91094">
        <w:rPr>
          <w:i/>
          <w:iCs/>
        </w:rPr>
        <w:t xml:space="preserve"> Department of Materials Science and Engineering, National Yang Ming Chiao Tung University</w:t>
      </w:r>
      <w:r w:rsidRPr="00C91094">
        <w:rPr>
          <w:i/>
          <w:iCs/>
          <w:lang w:eastAsia="zh-CN"/>
        </w:rPr>
        <w:t>,</w:t>
      </w:r>
    </w:p>
    <w:p w14:paraId="7EC0E87B" w14:textId="77777777" w:rsidR="0042404E" w:rsidRPr="00C91094" w:rsidRDefault="0042404E" w:rsidP="0042404E">
      <w:pPr>
        <w:jc w:val="center"/>
        <w:rPr>
          <w:i/>
          <w:iCs/>
        </w:rPr>
      </w:pPr>
      <w:r w:rsidRPr="00C91094">
        <w:rPr>
          <w:i/>
        </w:rPr>
        <w:t>Hsinchu 300093, Taiwan</w:t>
      </w:r>
    </w:p>
    <w:p w14:paraId="2603BD18" w14:textId="49A3C0C7" w:rsidR="00685C1A" w:rsidRPr="00C91094" w:rsidRDefault="0042404E" w:rsidP="0042404E">
      <w:pPr>
        <w:jc w:val="center"/>
        <w:rPr>
          <w:i/>
          <w:iCs/>
        </w:rPr>
      </w:pPr>
      <w:r w:rsidRPr="00C91094">
        <w:rPr>
          <w:i/>
          <w:iCs/>
        </w:rPr>
        <w:t>email</w:t>
      </w:r>
      <w:r w:rsidRPr="00C91094">
        <w:rPr>
          <w:i/>
          <w:iCs/>
        </w:rPr>
        <w:t>：</w:t>
      </w:r>
      <w:r w:rsidRPr="00C91094">
        <w:rPr>
          <w:i/>
          <w:iCs/>
        </w:rPr>
        <w:t>jin@ames.pi.titech.ac.jp</w:t>
      </w:r>
    </w:p>
    <w:p w14:paraId="173529F9" w14:textId="77777777" w:rsidR="001C33E8" w:rsidRPr="00C91094" w:rsidRDefault="001C33E8" w:rsidP="0042404E">
      <w:pPr>
        <w:jc w:val="center"/>
        <w:rPr>
          <w:i/>
          <w:lang w:eastAsia="zh-CN"/>
        </w:rPr>
      </w:pPr>
    </w:p>
    <w:p w14:paraId="0529BD0C" w14:textId="3350FE7E" w:rsidR="00597C07" w:rsidRDefault="00597C07" w:rsidP="00597C07">
      <w:pPr>
        <w:ind w:firstLineChars="200" w:firstLine="400"/>
        <w:jc w:val="both"/>
        <w:rPr>
          <w:lang w:eastAsia="zh-CN"/>
        </w:rPr>
      </w:pPr>
      <w:r>
        <w:rPr>
          <w:lang w:eastAsia="zh-CN"/>
        </w:rPr>
        <w:t>NiFe</w:t>
      </w:r>
      <w:r w:rsidR="00864C88" w:rsidRPr="00864C88">
        <w:rPr>
          <w:rFonts w:hint="eastAsia"/>
          <w:vertAlign w:val="subscript"/>
          <w:lang w:eastAsia="zh-CN"/>
        </w:rPr>
        <w:t>2</w:t>
      </w:r>
      <w:r>
        <w:rPr>
          <w:lang w:eastAsia="zh-CN"/>
        </w:rPr>
        <w:t>O</w:t>
      </w:r>
      <w:r w:rsidR="00864C88" w:rsidRPr="00864C88">
        <w:rPr>
          <w:rFonts w:hint="eastAsia"/>
          <w:vertAlign w:val="subscript"/>
          <w:lang w:eastAsia="zh-CN"/>
        </w:rPr>
        <w:t>4</w:t>
      </w:r>
      <w:r>
        <w:rPr>
          <w:lang w:eastAsia="zh-CN"/>
        </w:rPr>
        <w:t xml:space="preserve">/ZnO was developed as a dual-mode catalytic system to promote interfacial charge separation under mechanical and optical excitation. Pristine </w:t>
      </w:r>
      <w:r w:rsidR="00864C88">
        <w:rPr>
          <w:lang w:eastAsia="zh-CN"/>
        </w:rPr>
        <w:t>NiFe</w:t>
      </w:r>
      <w:r w:rsidR="00864C88" w:rsidRPr="00864C88">
        <w:rPr>
          <w:rFonts w:hint="eastAsia"/>
          <w:vertAlign w:val="subscript"/>
          <w:lang w:eastAsia="zh-CN"/>
        </w:rPr>
        <w:t>2</w:t>
      </w:r>
      <w:r w:rsidR="00864C88">
        <w:rPr>
          <w:lang w:eastAsia="zh-CN"/>
        </w:rPr>
        <w:t>O</w:t>
      </w:r>
      <w:r w:rsidR="00864C88" w:rsidRPr="00864C88">
        <w:rPr>
          <w:rFonts w:hint="eastAsia"/>
          <w:vertAlign w:val="subscript"/>
          <w:lang w:eastAsia="zh-CN"/>
        </w:rPr>
        <w:t>4</w:t>
      </w:r>
      <w:r>
        <w:rPr>
          <w:lang w:eastAsia="zh-CN"/>
        </w:rPr>
        <w:t xml:space="preserve"> possesses an inverse spinel structure and is generally regarded as centrosymmetric, which limits its intrinsic piezoelectric response. In this work, synchrotron-based structural analysis indicates that the extremely high alkaline condition employed during the hydrothermal process modifies the local coordination environment and cation distribution within the ferrite framework. Such structural modulation can disturb the local symmetry of </w:t>
      </w:r>
      <w:r w:rsidR="00864C88">
        <w:rPr>
          <w:lang w:eastAsia="zh-CN"/>
        </w:rPr>
        <w:t>NiFe</w:t>
      </w:r>
      <w:r w:rsidR="00864C88" w:rsidRPr="00864C88">
        <w:rPr>
          <w:rFonts w:hint="eastAsia"/>
          <w:vertAlign w:val="subscript"/>
          <w:lang w:eastAsia="zh-CN"/>
        </w:rPr>
        <w:t>2</w:t>
      </w:r>
      <w:r w:rsidR="00864C88">
        <w:rPr>
          <w:lang w:eastAsia="zh-CN"/>
        </w:rPr>
        <w:t>O</w:t>
      </w:r>
      <w:r w:rsidR="00864C88" w:rsidRPr="00864C88">
        <w:rPr>
          <w:rFonts w:hint="eastAsia"/>
          <w:vertAlign w:val="subscript"/>
          <w:lang w:eastAsia="zh-CN"/>
        </w:rPr>
        <w:t>4</w:t>
      </w:r>
      <w:r>
        <w:rPr>
          <w:lang w:eastAsia="zh-CN"/>
        </w:rPr>
        <w:t xml:space="preserve"> and facilitate mechanically induced polarization, enabling the ferrite to function as a piezo-responsive semiconductor while retaining its ferrimagnetic and optical characteristics. Among the prepared samples, the piezo-responsive </w:t>
      </w:r>
      <w:r w:rsidR="00864C88">
        <w:rPr>
          <w:lang w:eastAsia="zh-CN"/>
        </w:rPr>
        <w:t>NiFe</w:t>
      </w:r>
      <w:r w:rsidR="00864C88" w:rsidRPr="00864C88">
        <w:rPr>
          <w:rFonts w:hint="eastAsia"/>
          <w:vertAlign w:val="subscript"/>
          <w:lang w:eastAsia="zh-CN"/>
        </w:rPr>
        <w:t>2</w:t>
      </w:r>
      <w:r w:rsidR="00864C88">
        <w:rPr>
          <w:lang w:eastAsia="zh-CN"/>
        </w:rPr>
        <w:t>O</w:t>
      </w:r>
      <w:r w:rsidR="00864C88" w:rsidRPr="00864C88">
        <w:rPr>
          <w:rFonts w:hint="eastAsia"/>
          <w:vertAlign w:val="subscript"/>
          <w:lang w:eastAsia="zh-CN"/>
        </w:rPr>
        <w:t>4</w:t>
      </w:r>
      <w:r>
        <w:rPr>
          <w:lang w:eastAsia="zh-CN"/>
        </w:rPr>
        <w:t xml:space="preserve"> (p-NFO) exhibited the strongest mechanically driven oxidation behavior, highlighting the importance of alkaline hydrothermal modulation in activating the piezocatalytic response.</w:t>
      </w:r>
    </w:p>
    <w:p w14:paraId="6041B9DF" w14:textId="598FC0C7" w:rsidR="00597C07" w:rsidRDefault="00597C07" w:rsidP="00597C07">
      <w:pPr>
        <w:ind w:firstLineChars="200" w:firstLine="400"/>
        <w:jc w:val="both"/>
        <w:rPr>
          <w:lang w:eastAsia="zh-CN"/>
        </w:rPr>
      </w:pPr>
      <w:r>
        <w:rPr>
          <w:lang w:eastAsia="zh-CN"/>
        </w:rPr>
        <w:t xml:space="preserve">To further enhance charge separation, ZnO was introduced as an intrinsic piezoelectric counterpart. As illustrated in Fig. 1(a), repeated particle collisions can generate transient p–n/type-II-like heterojunctions between the p-NFO and ZnO, promoting electron transfer toward ZnO and hole retention in p-NFO. Under UV-filtered simulated solar irradiation, the p-NFO/ZnO mixed system outperformed </w:t>
      </w:r>
      <w:proofErr w:type="gramStart"/>
      <w:r>
        <w:rPr>
          <w:lang w:eastAsia="zh-CN"/>
        </w:rPr>
        <w:t>either individual</w:t>
      </w:r>
      <w:proofErr w:type="gramEnd"/>
      <w:r>
        <w:rPr>
          <w:lang w:eastAsia="zh-CN"/>
        </w:rPr>
        <w:t xml:space="preserve"> component, suggesting that ZnO mainly functions as a dynamic interfacial charge-separation partner rather than an independent UV-driven photocatalyst. The mixed system also exhibited excellent cycling stability over repeated runs. These findings demonstrate that alkaline hydrothermal modulation combined with transient interfacial heterojunction engineering provides an effective strategy for enhancing dual-mode semiconductor catalysis through coupled mechanical and optical activation.</w:t>
      </w:r>
    </w:p>
    <w:p w14:paraId="291DCBD0" w14:textId="785F1A65" w:rsidR="0042404E" w:rsidRPr="00C91094" w:rsidRDefault="003B0F8D" w:rsidP="008D3E55">
      <w:pPr>
        <w:jc w:val="center"/>
        <w:rPr>
          <w:lang w:eastAsia="zh-CN"/>
        </w:rPr>
      </w:pPr>
      <w:r>
        <w:rPr>
          <w:noProof/>
          <w:snapToGrid/>
          <w:lang w:eastAsia="zh-CN"/>
        </w:rPr>
        <w:drawing>
          <wp:inline distT="0" distB="0" distL="0" distR="0" wp14:anchorId="73848F32" wp14:editId="10A943B2">
            <wp:extent cx="5400675" cy="3341370"/>
            <wp:effectExtent l="0" t="0" r="9525" b="0"/>
            <wp:docPr id="19636953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95310" name="图片 1963695310"/>
                    <pic:cNvPicPr/>
                  </pic:nvPicPr>
                  <pic:blipFill>
                    <a:blip r:embed="rId6"/>
                    <a:stretch>
                      <a:fillRect/>
                    </a:stretch>
                  </pic:blipFill>
                  <pic:spPr>
                    <a:xfrm>
                      <a:off x="0" y="0"/>
                      <a:ext cx="5400675" cy="3341370"/>
                    </a:xfrm>
                    <a:prstGeom prst="rect">
                      <a:avLst/>
                    </a:prstGeom>
                  </pic:spPr>
                </pic:pic>
              </a:graphicData>
            </a:graphic>
          </wp:inline>
        </w:drawing>
      </w:r>
    </w:p>
    <w:p w14:paraId="2E381EB2" w14:textId="0F80EA9C" w:rsidR="00597C07" w:rsidRPr="00C91094" w:rsidRDefault="0042404E" w:rsidP="00597C07">
      <w:pPr>
        <w:jc w:val="both"/>
        <w:rPr>
          <w:lang w:eastAsia="zh-CN"/>
        </w:rPr>
      </w:pPr>
      <w:bookmarkStart w:id="0" w:name="_Hlk191134758"/>
      <w:r w:rsidRPr="00C91094">
        <w:rPr>
          <w:b/>
          <w:bCs/>
        </w:rPr>
        <w:t>Figure</w:t>
      </w:r>
      <w:bookmarkStart w:id="1" w:name="_Hlk172735419"/>
      <w:r w:rsidRPr="00C91094">
        <w:rPr>
          <w:b/>
          <w:bCs/>
          <w:lang w:eastAsia="zh-CN"/>
        </w:rPr>
        <w:t xml:space="preserve"> </w:t>
      </w:r>
      <w:r w:rsidR="001C33E8" w:rsidRPr="00C91094">
        <w:rPr>
          <w:b/>
          <w:bCs/>
          <w:lang w:eastAsia="zh-CN"/>
        </w:rPr>
        <w:t>1.</w:t>
      </w:r>
      <w:r w:rsidR="001C33E8" w:rsidRPr="00C91094">
        <w:rPr>
          <w:lang w:eastAsia="zh-CN"/>
        </w:rPr>
        <w:t xml:space="preserve"> </w:t>
      </w:r>
      <w:r w:rsidRPr="00C91094">
        <w:t>(</w:t>
      </w:r>
      <w:bookmarkEnd w:id="0"/>
      <w:bookmarkEnd w:id="1"/>
      <w:r w:rsidR="00597C07">
        <w:rPr>
          <w:lang w:eastAsia="zh-CN"/>
        </w:rPr>
        <w:t>a) Dual-mode charge separation in the p-NFO/ZnO system. (b) Oxidation performance under UV-filtered simulated sunlight. (c) Cycling stability of the p-NFO/ZnO system.</w:t>
      </w:r>
    </w:p>
    <w:sectPr w:rsidR="00597C07" w:rsidRPr="00C91094"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ACC52" w14:textId="77777777" w:rsidR="008F31EA" w:rsidRDefault="008F31EA" w:rsidP="0070421B">
      <w:r>
        <w:separator/>
      </w:r>
    </w:p>
  </w:endnote>
  <w:endnote w:type="continuationSeparator" w:id="0">
    <w:p w14:paraId="4E02E9DA" w14:textId="77777777" w:rsidR="008F31EA" w:rsidRDefault="008F31EA" w:rsidP="00704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6823E" w14:textId="77777777" w:rsidR="008F31EA" w:rsidRDefault="008F31EA" w:rsidP="0070421B">
      <w:r>
        <w:separator/>
      </w:r>
    </w:p>
  </w:footnote>
  <w:footnote w:type="continuationSeparator" w:id="0">
    <w:p w14:paraId="6B9FC41C" w14:textId="77777777" w:rsidR="008F31EA" w:rsidRDefault="008F31EA" w:rsidP="007042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6739C"/>
    <w:rsid w:val="000B5762"/>
    <w:rsid w:val="001952C4"/>
    <w:rsid w:val="001B3B53"/>
    <w:rsid w:val="001C33E8"/>
    <w:rsid w:val="001E04CC"/>
    <w:rsid w:val="0022445F"/>
    <w:rsid w:val="00264284"/>
    <w:rsid w:val="00325004"/>
    <w:rsid w:val="003B0F8D"/>
    <w:rsid w:val="0042404E"/>
    <w:rsid w:val="00536366"/>
    <w:rsid w:val="00557C8D"/>
    <w:rsid w:val="00597C07"/>
    <w:rsid w:val="00671D21"/>
    <w:rsid w:val="00685C1A"/>
    <w:rsid w:val="00687AAE"/>
    <w:rsid w:val="0070421B"/>
    <w:rsid w:val="00727F3D"/>
    <w:rsid w:val="00762583"/>
    <w:rsid w:val="00812BF5"/>
    <w:rsid w:val="00816BED"/>
    <w:rsid w:val="00834E23"/>
    <w:rsid w:val="00864C88"/>
    <w:rsid w:val="00880BD3"/>
    <w:rsid w:val="008D3E55"/>
    <w:rsid w:val="008F31EA"/>
    <w:rsid w:val="009F234B"/>
    <w:rsid w:val="00A949B6"/>
    <w:rsid w:val="00BB628A"/>
    <w:rsid w:val="00C70AD4"/>
    <w:rsid w:val="00C91094"/>
    <w:rsid w:val="00D03D0A"/>
    <w:rsid w:val="00D5271A"/>
    <w:rsid w:val="00E0716D"/>
    <w:rsid w:val="00E31711"/>
    <w:rsid w:val="00E41463"/>
    <w:rsid w:val="00F118AF"/>
    <w:rsid w:val="00F23729"/>
    <w:rsid w:val="00F60081"/>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C548C"/>
  <w14:defaultImageDpi w14:val="300"/>
  <w15:docId w15:val="{340BDBD7-08A2-47D5-8E57-8A330655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ibliography"/>
    <w:basedOn w:val="a"/>
    <w:next w:val="a"/>
    <w:uiPriority w:val="37"/>
    <w:semiHidden/>
    <w:unhideWhenUsed/>
    <w:rsid w:val="00687AAE"/>
  </w:style>
  <w:style w:type="character" w:styleId="a4">
    <w:name w:val="Hyperlink"/>
    <w:basedOn w:val="a0"/>
    <w:uiPriority w:val="99"/>
    <w:unhideWhenUsed/>
    <w:rsid w:val="001C33E8"/>
    <w:rPr>
      <w:color w:val="0000FF" w:themeColor="hyperlink"/>
      <w:u w:val="single"/>
    </w:rPr>
  </w:style>
  <w:style w:type="character" w:styleId="a5">
    <w:name w:val="Unresolved Mention"/>
    <w:basedOn w:val="a0"/>
    <w:uiPriority w:val="99"/>
    <w:semiHidden/>
    <w:unhideWhenUsed/>
    <w:rsid w:val="001C33E8"/>
    <w:rPr>
      <w:color w:val="605E5C"/>
      <w:shd w:val="clear" w:color="auto" w:fill="E1DFDD"/>
    </w:rPr>
  </w:style>
  <w:style w:type="paragraph" w:styleId="a6">
    <w:name w:val="header"/>
    <w:basedOn w:val="a"/>
    <w:link w:val="a7"/>
    <w:uiPriority w:val="99"/>
    <w:unhideWhenUsed/>
    <w:rsid w:val="0070421B"/>
    <w:pPr>
      <w:tabs>
        <w:tab w:val="center" w:pos="4252"/>
        <w:tab w:val="right" w:pos="8504"/>
      </w:tabs>
      <w:snapToGrid w:val="0"/>
      <w:jc w:val="center"/>
    </w:pPr>
    <w:rPr>
      <w:sz w:val="18"/>
      <w:szCs w:val="18"/>
    </w:rPr>
  </w:style>
  <w:style w:type="character" w:customStyle="1" w:styleId="a7">
    <w:name w:val="页眉 字符"/>
    <w:basedOn w:val="a0"/>
    <w:link w:val="a6"/>
    <w:uiPriority w:val="99"/>
    <w:rsid w:val="0070421B"/>
    <w:rPr>
      <w:snapToGrid w:val="0"/>
      <w:sz w:val="18"/>
      <w:szCs w:val="18"/>
    </w:rPr>
  </w:style>
  <w:style w:type="paragraph" w:styleId="a8">
    <w:name w:val="footer"/>
    <w:basedOn w:val="a"/>
    <w:link w:val="a9"/>
    <w:uiPriority w:val="99"/>
    <w:unhideWhenUsed/>
    <w:rsid w:val="0070421B"/>
    <w:pPr>
      <w:tabs>
        <w:tab w:val="center" w:pos="4252"/>
        <w:tab w:val="right" w:pos="8504"/>
      </w:tabs>
      <w:snapToGrid w:val="0"/>
    </w:pPr>
    <w:rPr>
      <w:sz w:val="18"/>
      <w:szCs w:val="18"/>
    </w:rPr>
  </w:style>
  <w:style w:type="character" w:customStyle="1" w:styleId="a9">
    <w:name w:val="页脚 字符"/>
    <w:basedOn w:val="a0"/>
    <w:link w:val="a8"/>
    <w:uiPriority w:val="99"/>
    <w:rsid w:val="0070421B"/>
    <w:rPr>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86227">
      <w:bodyDiv w:val="1"/>
      <w:marLeft w:val="0"/>
      <w:marRight w:val="0"/>
      <w:marTop w:val="0"/>
      <w:marBottom w:val="0"/>
      <w:divBdr>
        <w:top w:val="none" w:sz="0" w:space="0" w:color="auto"/>
        <w:left w:val="none" w:sz="0" w:space="0" w:color="auto"/>
        <w:bottom w:val="none" w:sz="0" w:space="0" w:color="auto"/>
        <w:right w:val="none" w:sz="0" w:space="0" w:color="auto"/>
      </w:divBdr>
    </w:div>
    <w:div w:id="187255360">
      <w:bodyDiv w:val="1"/>
      <w:marLeft w:val="0"/>
      <w:marRight w:val="0"/>
      <w:marTop w:val="0"/>
      <w:marBottom w:val="0"/>
      <w:divBdr>
        <w:top w:val="none" w:sz="0" w:space="0" w:color="auto"/>
        <w:left w:val="none" w:sz="0" w:space="0" w:color="auto"/>
        <w:bottom w:val="none" w:sz="0" w:space="0" w:color="auto"/>
        <w:right w:val="none" w:sz="0" w:space="0" w:color="auto"/>
      </w:divBdr>
    </w:div>
    <w:div w:id="459810878">
      <w:bodyDiv w:val="1"/>
      <w:marLeft w:val="0"/>
      <w:marRight w:val="0"/>
      <w:marTop w:val="0"/>
      <w:marBottom w:val="0"/>
      <w:divBdr>
        <w:top w:val="none" w:sz="0" w:space="0" w:color="auto"/>
        <w:left w:val="none" w:sz="0" w:space="0" w:color="auto"/>
        <w:bottom w:val="none" w:sz="0" w:space="0" w:color="auto"/>
        <w:right w:val="none" w:sz="0" w:space="0" w:color="auto"/>
      </w:divBdr>
    </w:div>
    <w:div w:id="546380436">
      <w:bodyDiv w:val="1"/>
      <w:marLeft w:val="0"/>
      <w:marRight w:val="0"/>
      <w:marTop w:val="0"/>
      <w:marBottom w:val="0"/>
      <w:divBdr>
        <w:top w:val="none" w:sz="0" w:space="0" w:color="auto"/>
        <w:left w:val="none" w:sz="0" w:space="0" w:color="auto"/>
        <w:bottom w:val="none" w:sz="0" w:space="0" w:color="auto"/>
        <w:right w:val="none" w:sz="0" w:space="0" w:color="auto"/>
      </w:divBdr>
    </w:div>
    <w:div w:id="932736539">
      <w:bodyDiv w:val="1"/>
      <w:marLeft w:val="0"/>
      <w:marRight w:val="0"/>
      <w:marTop w:val="0"/>
      <w:marBottom w:val="0"/>
      <w:divBdr>
        <w:top w:val="none" w:sz="0" w:space="0" w:color="auto"/>
        <w:left w:val="none" w:sz="0" w:space="0" w:color="auto"/>
        <w:bottom w:val="none" w:sz="0" w:space="0" w:color="auto"/>
        <w:right w:val="none" w:sz="0" w:space="0" w:color="auto"/>
      </w:divBdr>
    </w:div>
    <w:div w:id="1055197166">
      <w:bodyDiv w:val="1"/>
      <w:marLeft w:val="0"/>
      <w:marRight w:val="0"/>
      <w:marTop w:val="0"/>
      <w:marBottom w:val="0"/>
      <w:divBdr>
        <w:top w:val="none" w:sz="0" w:space="0" w:color="auto"/>
        <w:left w:val="none" w:sz="0" w:space="0" w:color="auto"/>
        <w:bottom w:val="none" w:sz="0" w:space="0" w:color="auto"/>
        <w:right w:val="none" w:sz="0" w:space="0" w:color="auto"/>
      </w:divBdr>
    </w:div>
    <w:div w:id="1603033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Jin Xinyu</dc:creator>
  <cp:keywords/>
  <cp:lastModifiedBy>zikx3647 / JIN XINYU / XINYU JIN</cp:lastModifiedBy>
  <cp:revision>5</cp:revision>
  <cp:lastPrinted>2013-10-21T12:07:00Z</cp:lastPrinted>
  <dcterms:created xsi:type="dcterms:W3CDTF">2026-05-22T08:44:00Z</dcterms:created>
  <dcterms:modified xsi:type="dcterms:W3CDTF">2026-05-22T09:11:00Z</dcterms:modified>
</cp:coreProperties>
</file>