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6EEFB" w14:textId="6029B8D9" w:rsidR="00325004" w:rsidRPr="00A86EB9" w:rsidRDefault="00CA469B" w:rsidP="00E0716D">
      <w:pPr>
        <w:jc w:val="center"/>
        <w:rPr>
          <w:b/>
          <w:sz w:val="28"/>
        </w:rPr>
      </w:pPr>
      <w:r w:rsidRPr="00CA469B">
        <w:rPr>
          <w:b/>
          <w:sz w:val="28"/>
        </w:rPr>
        <w:t>Decoding Active States in Oxygen Evolution Electrocatalysis: From In-Situ Observation to Operando Characterization</w:t>
      </w:r>
    </w:p>
    <w:p w14:paraId="70FAEAC6" w14:textId="77777777" w:rsidR="00325004" w:rsidRPr="00A86EB9" w:rsidRDefault="00325004" w:rsidP="00E0716D">
      <w:pPr>
        <w:jc w:val="center"/>
        <w:rPr>
          <w:b/>
          <w:sz w:val="28"/>
        </w:rPr>
      </w:pPr>
    </w:p>
    <w:p w14:paraId="650D94BB" w14:textId="55948955" w:rsidR="00325004" w:rsidRDefault="007B303B" w:rsidP="00E0716D">
      <w:pPr>
        <w:jc w:val="center"/>
      </w:pPr>
      <w:r>
        <w:rPr>
          <w:u w:val="single"/>
        </w:rPr>
        <w:t>Marcel Risch</w:t>
      </w:r>
      <w:r w:rsidR="00325004">
        <w:t xml:space="preserve">, </w:t>
      </w:r>
      <w:r>
        <w:t>Javier Villalobos, Jia Du</w:t>
      </w:r>
    </w:p>
    <w:p w14:paraId="550FABDD" w14:textId="1AE027C2" w:rsidR="00325004" w:rsidRPr="007B303B" w:rsidRDefault="007B303B" w:rsidP="00E0716D">
      <w:pPr>
        <w:jc w:val="center"/>
        <w:rPr>
          <w:i/>
          <w:lang w:val="de-DE"/>
        </w:rPr>
      </w:pPr>
      <w:r w:rsidRPr="007B303B">
        <w:rPr>
          <w:i/>
          <w:lang w:val="de-DE"/>
        </w:rPr>
        <w:t xml:space="preserve">Helmholtz-Zentrum Berlin für Materialien und Energie GmbH, </w:t>
      </w:r>
      <w:r w:rsidRPr="007B303B">
        <w:rPr>
          <w:i/>
          <w:lang w:val="de-DE"/>
        </w:rPr>
        <w:br/>
        <w:t>Abteilung Mechanismen Nachhaltiger Elektrokatalyse</w:t>
      </w:r>
    </w:p>
    <w:p w14:paraId="554126A2" w14:textId="49DC01E8" w:rsidR="00325004" w:rsidRDefault="007B303B" w:rsidP="00E0716D">
      <w:pPr>
        <w:jc w:val="center"/>
      </w:pPr>
      <w:r>
        <w:rPr>
          <w:i/>
        </w:rPr>
        <w:t>Hahn-Meitner-Platz 1, 14109 Berlin</w:t>
      </w:r>
    </w:p>
    <w:p w14:paraId="3F73FD87" w14:textId="6148EB1F" w:rsidR="00685C1A" w:rsidRPr="00685C1A" w:rsidRDefault="007B303B" w:rsidP="00E0716D">
      <w:pPr>
        <w:jc w:val="center"/>
        <w:rPr>
          <w:i/>
        </w:rPr>
      </w:pPr>
      <w:r>
        <w:rPr>
          <w:i/>
        </w:rPr>
        <w:t>marcel.risch@helmholtz-berlin.de</w:t>
      </w:r>
    </w:p>
    <w:p w14:paraId="5FD1F45D" w14:textId="77777777" w:rsidR="00325004" w:rsidRPr="002D7E08" w:rsidRDefault="00325004" w:rsidP="00E0716D">
      <w:pPr>
        <w:jc w:val="center"/>
        <w:rPr>
          <w:sz w:val="12"/>
          <w:szCs w:val="12"/>
        </w:rPr>
      </w:pPr>
    </w:p>
    <w:p w14:paraId="6030AD2B" w14:textId="40CAB864" w:rsidR="007B303B" w:rsidRDefault="002D7E08" w:rsidP="002D7E08">
      <w:pPr>
        <w:jc w:val="center"/>
      </w:pPr>
      <w:r>
        <w:rPr>
          <w:noProof/>
        </w:rPr>
        <w:drawing>
          <wp:inline distT="0" distB="0" distL="0" distR="0" wp14:anchorId="71334FEA" wp14:editId="73602F1C">
            <wp:extent cx="3526971" cy="988424"/>
            <wp:effectExtent l="0" t="0" r="0" b="2540"/>
            <wp:docPr id="1902683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screen">
                      <a:extLst>
                        <a:ext uri="{28A0092B-C50C-407E-A947-70E740481C1C}">
                          <a14:useLocalDpi xmlns:a14="http://schemas.microsoft.com/office/drawing/2010/main"/>
                        </a:ext>
                      </a:extLst>
                    </a:blip>
                    <a:srcRect/>
                    <a:stretch>
                      <a:fillRect/>
                    </a:stretch>
                  </pic:blipFill>
                  <pic:spPr bwMode="auto">
                    <a:xfrm>
                      <a:off x="0" y="0"/>
                      <a:ext cx="3592473" cy="1006781"/>
                    </a:xfrm>
                    <a:prstGeom prst="rect">
                      <a:avLst/>
                    </a:prstGeom>
                    <a:noFill/>
                    <a:ln>
                      <a:noFill/>
                    </a:ln>
                    <a:extLst>
                      <a:ext uri="{53640926-AAD7-44D8-BBD7-CCE9431645EC}">
                        <a14:shadowObscured xmlns:a14="http://schemas.microsoft.com/office/drawing/2010/main"/>
                      </a:ext>
                    </a:extLst>
                  </pic:spPr>
                </pic:pic>
              </a:graphicData>
            </a:graphic>
          </wp:inline>
        </w:drawing>
      </w:r>
    </w:p>
    <w:p w14:paraId="63642939" w14:textId="77777777" w:rsidR="007B303B" w:rsidRPr="002D7E08" w:rsidRDefault="007B303B" w:rsidP="007B303B">
      <w:pPr>
        <w:jc w:val="both"/>
        <w:rPr>
          <w:sz w:val="12"/>
          <w:szCs w:val="12"/>
        </w:rPr>
      </w:pPr>
    </w:p>
    <w:p w14:paraId="3912CF3B" w14:textId="7A77DCF2" w:rsidR="007B303B" w:rsidRPr="007B303B" w:rsidRDefault="007B303B" w:rsidP="007B303B">
      <w:pPr>
        <w:jc w:val="both"/>
      </w:pPr>
      <w:r w:rsidRPr="007B303B">
        <w:t xml:space="preserve">Identifying the oxidation state and local coordination environment of catalytically relevant species remains a major challenge in electrocatalysis. In cobalt-based oxygen evolution catalysts, the role of highly oxidized </w:t>
      </w:r>
      <w:proofErr w:type="gramStart"/>
      <w:r w:rsidRPr="007B303B">
        <w:t>Co(</w:t>
      </w:r>
      <w:proofErr w:type="gramEnd"/>
      <w:r w:rsidRPr="007B303B">
        <w:t xml:space="preserve">IV) species has been debated for more than a decade, illustrating the broader difficulty of assigning catalytic function to spectroscopically observed states. X-ray absorption spectroscopy (XAS) is ideally suited to probe oxidation states and local coordination environments under reaction conditions. However, because oxygen production is rarely quantified simultaneously during </w:t>
      </w:r>
      <w:proofErr w:type="spellStart"/>
      <w:r w:rsidRPr="007B303B">
        <w:t>spectroelectrochemical</w:t>
      </w:r>
      <w:proofErr w:type="spellEnd"/>
      <w:r w:rsidRPr="007B303B">
        <w:t xml:space="preserve"> measurements, most studies remain limited to in situ observations rather than operando characterization. As a result, identifying catalytically relevant states remains challenging despite the wealth of spectroscopic information available [1].</w:t>
      </w:r>
    </w:p>
    <w:p w14:paraId="21A4D66A" w14:textId="77777777" w:rsidR="007B303B" w:rsidRPr="007B303B" w:rsidRDefault="007B303B" w:rsidP="007B303B">
      <w:pPr>
        <w:jc w:val="both"/>
      </w:pPr>
      <w:r w:rsidRPr="007B303B">
        <w:t xml:space="preserve">This contribution traces our efforts to address this challenge using complementary spectroscopic approaches. Early in situ XAS studies revealed the dynamic evolution of cobalt oxide catalysts during the oxygen evolution reaction (OER), while product formation was assessed in separate, correlative experiments [2]. More recently, in situ UV–Vis </w:t>
      </w:r>
      <w:proofErr w:type="spellStart"/>
      <w:r w:rsidRPr="007B303B">
        <w:t>spectroelectrochemistry</w:t>
      </w:r>
      <w:proofErr w:type="spellEnd"/>
      <w:r w:rsidRPr="007B303B">
        <w:t xml:space="preserve"> enabled the tracking of highly oxidized cobalt species during OER and revealed the accumulation of </w:t>
      </w:r>
      <w:proofErr w:type="gramStart"/>
      <w:r w:rsidRPr="007B303B">
        <w:t>Co(</w:t>
      </w:r>
      <w:proofErr w:type="gramEnd"/>
      <w:r w:rsidRPr="007B303B">
        <w:t xml:space="preserve">IV) under increasingly alkaline and oxidative conditions [3]. Interestingly, the relationship between </w:t>
      </w:r>
      <w:proofErr w:type="gramStart"/>
      <w:r w:rsidRPr="007B303B">
        <w:t>Co(</w:t>
      </w:r>
      <w:proofErr w:type="gramEnd"/>
      <w:r w:rsidRPr="007B303B">
        <w:t xml:space="preserve">IV) population and OER activity depends on the operating regime, with a stronger correlation observed at elevated potentials and current densities [3]. </w:t>
      </w:r>
      <w:proofErr w:type="gramStart"/>
      <w:r w:rsidRPr="007B303B">
        <w:t>Taken</w:t>
      </w:r>
      <w:proofErr w:type="gramEnd"/>
      <w:r w:rsidRPr="007B303B">
        <w:t xml:space="preserve"> together, these studies leave an unresolved question: when oxygen is </w:t>
      </w:r>
      <w:proofErr w:type="gramStart"/>
      <w:r w:rsidRPr="007B303B">
        <w:t>actually produced</w:t>
      </w:r>
      <w:proofErr w:type="gramEnd"/>
      <w:r w:rsidRPr="007B303B">
        <w:t>, which cobalt oxidation states are present and how do they evolve during catalysis?</w:t>
      </w:r>
    </w:p>
    <w:p w14:paraId="4BC25B07" w14:textId="697E30EF" w:rsidR="007B303B" w:rsidRPr="007B303B" w:rsidRDefault="007B303B" w:rsidP="007B303B">
      <w:pPr>
        <w:jc w:val="both"/>
      </w:pPr>
      <w:r w:rsidRPr="007B303B">
        <w:t xml:space="preserve">To address these questions, </w:t>
      </w:r>
      <w:r>
        <w:t xml:space="preserve">our </w:t>
      </w:r>
      <w:r w:rsidRPr="007B303B">
        <w:t xml:space="preserve">electrochemical XAS cell combines X-ray absorption spectroscopy with simultaneous quantitative oxygen detection by fluorescence quenching [4]. By correlating catalyst oxidation state and oxygen evolution rate under identical conditions, this approach enables a transition from in situ observation to operando characterization. Combined with insights from in situ UV–Vis </w:t>
      </w:r>
      <w:proofErr w:type="spellStart"/>
      <w:r w:rsidRPr="007B303B">
        <w:t>spectroelectrochemistry</w:t>
      </w:r>
      <w:proofErr w:type="spellEnd"/>
      <w:r w:rsidRPr="007B303B">
        <w:t xml:space="preserve">, the results reveal a close correlation between the onset of oxygen evolution and the appearance of </w:t>
      </w:r>
      <w:proofErr w:type="gramStart"/>
      <w:r w:rsidRPr="007B303B">
        <w:t>Co(</w:t>
      </w:r>
      <w:proofErr w:type="gramEnd"/>
      <w:r w:rsidRPr="007B303B">
        <w:t>IV) species in both neutral and alkaline media. Beyond establishing such correlations, recent advances in XAS instrumentation enable the observation of sub-second redox-state dynamics during oxygen evolution. These measurements may reveal dynamic equilibria between catalyst states that remain hidden in conventional steady-state experiments and provide new opportunities to investigate the kinetics of active-state formation.</w:t>
      </w:r>
    </w:p>
    <w:p w14:paraId="7A2AF00F" w14:textId="18F07408" w:rsidR="007B303B" w:rsidRPr="007B303B" w:rsidRDefault="007B303B" w:rsidP="007B303B">
      <w:pPr>
        <w:jc w:val="both"/>
      </w:pPr>
      <w:r>
        <w:t>A key conclusion</w:t>
      </w:r>
      <w:r w:rsidRPr="007B303B">
        <w:t xml:space="preserve"> is that identifying active states requires not only spectroscopic sensitivity but also direct information about catalytic turnover. Complementary spectroscopy, quantitative product detection, and emerging time-resolved methodologies together provide a framework for linking catalyst oxidation state, catalytic activity, and catalyst-state dynamics during oxygen evolution.</w:t>
      </w:r>
    </w:p>
    <w:p w14:paraId="600EA827" w14:textId="77777777" w:rsidR="007B303B" w:rsidRDefault="007B303B" w:rsidP="00E0716D">
      <w:pPr>
        <w:jc w:val="both"/>
      </w:pPr>
    </w:p>
    <w:p w14:paraId="5AE1600E" w14:textId="77777777" w:rsidR="007B303B" w:rsidRPr="007B303B" w:rsidRDefault="007B303B" w:rsidP="007B303B">
      <w:pPr>
        <w:jc w:val="both"/>
        <w:rPr>
          <w:sz w:val="18"/>
          <w:szCs w:val="18"/>
        </w:rPr>
      </w:pPr>
      <w:r w:rsidRPr="007B303B">
        <w:rPr>
          <w:b/>
          <w:bCs/>
          <w:sz w:val="18"/>
          <w:szCs w:val="18"/>
        </w:rPr>
        <w:t>References</w:t>
      </w:r>
    </w:p>
    <w:p w14:paraId="132ECE35" w14:textId="77777777" w:rsidR="007B303B" w:rsidRPr="007B303B" w:rsidRDefault="007B303B" w:rsidP="007B303B">
      <w:pPr>
        <w:jc w:val="both"/>
        <w:rPr>
          <w:sz w:val="18"/>
          <w:szCs w:val="18"/>
        </w:rPr>
      </w:pPr>
      <w:r w:rsidRPr="007B303B">
        <w:rPr>
          <w:sz w:val="18"/>
          <w:szCs w:val="18"/>
        </w:rPr>
        <w:t xml:space="preserve">[1] M. Risch, et al., </w:t>
      </w:r>
      <w:r w:rsidRPr="007B303B">
        <w:rPr>
          <w:i/>
          <w:iCs/>
          <w:sz w:val="18"/>
          <w:szCs w:val="18"/>
        </w:rPr>
        <w:t>What X-Ray Absorption Spectroscopy Can Tell Us About the Active State of Earth-Abundant Electrocatalysts for the Oxygen Evolution Reaction</w:t>
      </w:r>
      <w:r w:rsidRPr="007B303B">
        <w:rPr>
          <w:sz w:val="18"/>
          <w:szCs w:val="18"/>
        </w:rPr>
        <w:t xml:space="preserve">, </w:t>
      </w:r>
      <w:proofErr w:type="spellStart"/>
      <w:r w:rsidRPr="007B303B">
        <w:rPr>
          <w:sz w:val="18"/>
          <w:szCs w:val="18"/>
        </w:rPr>
        <w:t>Angew</w:t>
      </w:r>
      <w:proofErr w:type="spellEnd"/>
      <w:r w:rsidRPr="007B303B">
        <w:rPr>
          <w:sz w:val="18"/>
          <w:szCs w:val="18"/>
        </w:rPr>
        <w:t>. Chem. Int. Ed. 61 (2022), e202211949.</w:t>
      </w:r>
    </w:p>
    <w:p w14:paraId="05A987EC" w14:textId="77777777" w:rsidR="007B303B" w:rsidRPr="007B303B" w:rsidRDefault="007B303B" w:rsidP="007B303B">
      <w:pPr>
        <w:jc w:val="both"/>
        <w:rPr>
          <w:sz w:val="18"/>
          <w:szCs w:val="18"/>
        </w:rPr>
      </w:pPr>
      <w:r w:rsidRPr="007B303B">
        <w:rPr>
          <w:sz w:val="18"/>
          <w:szCs w:val="18"/>
        </w:rPr>
        <w:t xml:space="preserve">[2] M. Risch, et al., </w:t>
      </w:r>
      <w:r w:rsidRPr="007B303B">
        <w:rPr>
          <w:i/>
          <w:iCs/>
          <w:sz w:val="18"/>
          <w:szCs w:val="18"/>
        </w:rPr>
        <w:t>Water Oxidation by Amorphous Cobalt-Based Oxides: In Situ Tracking of Redox Transitions and Mode of Catalysis</w:t>
      </w:r>
      <w:r w:rsidRPr="007B303B">
        <w:rPr>
          <w:sz w:val="18"/>
          <w:szCs w:val="18"/>
        </w:rPr>
        <w:t>, Energy Environ. Sci. 8 (2015), 661–674.</w:t>
      </w:r>
    </w:p>
    <w:p w14:paraId="53D012D8" w14:textId="77777777" w:rsidR="007B303B" w:rsidRPr="007B303B" w:rsidRDefault="007B303B" w:rsidP="007B303B">
      <w:pPr>
        <w:jc w:val="both"/>
        <w:rPr>
          <w:sz w:val="18"/>
          <w:szCs w:val="18"/>
        </w:rPr>
      </w:pPr>
      <w:r w:rsidRPr="007B303B">
        <w:rPr>
          <w:sz w:val="18"/>
          <w:szCs w:val="18"/>
        </w:rPr>
        <w:t xml:space="preserve">[3] J. Du, et al., </w:t>
      </w:r>
      <w:r w:rsidRPr="007B303B">
        <w:rPr>
          <w:i/>
          <w:iCs/>
          <w:sz w:val="18"/>
          <w:szCs w:val="18"/>
        </w:rPr>
        <w:t>In Situ UV–Vis Absorption Spectroscopy Study of Water Electrooxidation on Cobalt Oxide Catalysts</w:t>
      </w:r>
      <w:r w:rsidRPr="007B303B">
        <w:rPr>
          <w:sz w:val="18"/>
          <w:szCs w:val="18"/>
        </w:rPr>
        <w:t xml:space="preserve">, </w:t>
      </w:r>
      <w:proofErr w:type="spellStart"/>
      <w:r w:rsidRPr="007B303B">
        <w:rPr>
          <w:sz w:val="18"/>
          <w:szCs w:val="18"/>
        </w:rPr>
        <w:t>Electrochim</w:t>
      </w:r>
      <w:proofErr w:type="spellEnd"/>
      <w:r w:rsidRPr="007B303B">
        <w:rPr>
          <w:sz w:val="18"/>
          <w:szCs w:val="18"/>
        </w:rPr>
        <w:t>. Acta 512 (2025), 145489.</w:t>
      </w:r>
    </w:p>
    <w:p w14:paraId="1E535059" w14:textId="7D3E1CCD" w:rsidR="002D7E08" w:rsidRPr="002D7E08" w:rsidRDefault="007B303B" w:rsidP="00E0716D">
      <w:pPr>
        <w:jc w:val="both"/>
        <w:rPr>
          <w:sz w:val="18"/>
          <w:szCs w:val="18"/>
        </w:rPr>
      </w:pPr>
      <w:r w:rsidRPr="007B303B">
        <w:rPr>
          <w:sz w:val="18"/>
          <w:szCs w:val="18"/>
        </w:rPr>
        <w:t xml:space="preserve">[4] J. Villalobos, et al., </w:t>
      </w:r>
      <w:r w:rsidRPr="007B303B">
        <w:rPr>
          <w:i/>
          <w:iCs/>
          <w:sz w:val="18"/>
          <w:szCs w:val="18"/>
        </w:rPr>
        <w:t>A Substrate-Versatile Operando Electrochemical Cell for X-Ray Absorption Spectroscopy</w:t>
      </w:r>
      <w:r w:rsidRPr="007B303B">
        <w:rPr>
          <w:sz w:val="18"/>
          <w:szCs w:val="18"/>
        </w:rPr>
        <w:t>, under preparation (2026).</w:t>
      </w:r>
    </w:p>
    <w:sectPr w:rsidR="002D7E08" w:rsidRPr="002D7E08"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4E"/>
    <w:family w:val="auto"/>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E463F"/>
    <w:rsid w:val="00246747"/>
    <w:rsid w:val="002D7E08"/>
    <w:rsid w:val="00325004"/>
    <w:rsid w:val="00536366"/>
    <w:rsid w:val="005440EF"/>
    <w:rsid w:val="00662ED9"/>
    <w:rsid w:val="00685C1A"/>
    <w:rsid w:val="00762E92"/>
    <w:rsid w:val="007B303B"/>
    <w:rsid w:val="00CA469B"/>
    <w:rsid w:val="00E0716D"/>
    <w:rsid w:val="00E305AB"/>
    <w:rsid w:val="00E623BE"/>
    <w:rsid w:val="00F97641"/>
    <w:rsid w:val="00FE2A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01C6F3"/>
  <w14:defaultImageDpi w14:val="300"/>
  <w15:docId w15:val="{02F301B3-114B-4329-831F-FA1459415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paragraph" w:styleId="Heading2">
    <w:name w:val="heading 2"/>
    <w:basedOn w:val="Normal"/>
    <w:next w:val="Normal"/>
    <w:link w:val="Heading2Char"/>
    <w:uiPriority w:val="9"/>
    <w:semiHidden/>
    <w:unhideWhenUsed/>
    <w:qFormat/>
    <w:rsid w:val="00E305A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305AB"/>
    <w:rPr>
      <w:rFonts w:asciiTheme="majorHAnsi" w:eastAsiaTheme="majorEastAsia" w:hAnsiTheme="majorHAnsi" w:cstheme="majorBidi"/>
      <w:snapToGrid w:val="0"/>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903448">
      <w:bodyDiv w:val="1"/>
      <w:marLeft w:val="0"/>
      <w:marRight w:val="0"/>
      <w:marTop w:val="0"/>
      <w:marBottom w:val="0"/>
      <w:divBdr>
        <w:top w:val="none" w:sz="0" w:space="0" w:color="auto"/>
        <w:left w:val="none" w:sz="0" w:space="0" w:color="auto"/>
        <w:bottom w:val="none" w:sz="0" w:space="0" w:color="auto"/>
        <w:right w:val="none" w:sz="0" w:space="0" w:color="auto"/>
      </w:divBdr>
    </w:div>
    <w:div w:id="384372925">
      <w:bodyDiv w:val="1"/>
      <w:marLeft w:val="0"/>
      <w:marRight w:val="0"/>
      <w:marTop w:val="0"/>
      <w:marBottom w:val="0"/>
      <w:divBdr>
        <w:top w:val="none" w:sz="0" w:space="0" w:color="auto"/>
        <w:left w:val="none" w:sz="0" w:space="0" w:color="auto"/>
        <w:bottom w:val="none" w:sz="0" w:space="0" w:color="auto"/>
        <w:right w:val="none" w:sz="0" w:space="0" w:color="auto"/>
      </w:divBdr>
    </w:div>
    <w:div w:id="437410300">
      <w:bodyDiv w:val="1"/>
      <w:marLeft w:val="0"/>
      <w:marRight w:val="0"/>
      <w:marTop w:val="0"/>
      <w:marBottom w:val="0"/>
      <w:divBdr>
        <w:top w:val="none" w:sz="0" w:space="0" w:color="auto"/>
        <w:left w:val="none" w:sz="0" w:space="0" w:color="auto"/>
        <w:bottom w:val="none" w:sz="0" w:space="0" w:color="auto"/>
        <w:right w:val="none" w:sz="0" w:space="0" w:color="auto"/>
      </w:divBdr>
    </w:div>
    <w:div w:id="677000011">
      <w:bodyDiv w:val="1"/>
      <w:marLeft w:val="0"/>
      <w:marRight w:val="0"/>
      <w:marTop w:val="0"/>
      <w:marBottom w:val="0"/>
      <w:divBdr>
        <w:top w:val="none" w:sz="0" w:space="0" w:color="auto"/>
        <w:left w:val="none" w:sz="0" w:space="0" w:color="auto"/>
        <w:bottom w:val="none" w:sz="0" w:space="0" w:color="auto"/>
        <w:right w:val="none" w:sz="0" w:space="0" w:color="auto"/>
      </w:divBdr>
    </w:div>
    <w:div w:id="832841313">
      <w:bodyDiv w:val="1"/>
      <w:marLeft w:val="0"/>
      <w:marRight w:val="0"/>
      <w:marTop w:val="0"/>
      <w:marBottom w:val="0"/>
      <w:divBdr>
        <w:top w:val="none" w:sz="0" w:space="0" w:color="auto"/>
        <w:left w:val="none" w:sz="0" w:space="0" w:color="auto"/>
        <w:bottom w:val="none" w:sz="0" w:space="0" w:color="auto"/>
        <w:right w:val="none" w:sz="0" w:space="0" w:color="auto"/>
      </w:divBdr>
    </w:div>
    <w:div w:id="832917005">
      <w:bodyDiv w:val="1"/>
      <w:marLeft w:val="0"/>
      <w:marRight w:val="0"/>
      <w:marTop w:val="0"/>
      <w:marBottom w:val="0"/>
      <w:divBdr>
        <w:top w:val="none" w:sz="0" w:space="0" w:color="auto"/>
        <w:left w:val="none" w:sz="0" w:space="0" w:color="auto"/>
        <w:bottom w:val="none" w:sz="0" w:space="0" w:color="auto"/>
        <w:right w:val="none" w:sz="0" w:space="0" w:color="auto"/>
      </w:divBdr>
    </w:div>
    <w:div w:id="902565555">
      <w:bodyDiv w:val="1"/>
      <w:marLeft w:val="0"/>
      <w:marRight w:val="0"/>
      <w:marTop w:val="0"/>
      <w:marBottom w:val="0"/>
      <w:divBdr>
        <w:top w:val="none" w:sz="0" w:space="0" w:color="auto"/>
        <w:left w:val="none" w:sz="0" w:space="0" w:color="auto"/>
        <w:bottom w:val="none" w:sz="0" w:space="0" w:color="auto"/>
        <w:right w:val="none" w:sz="0" w:space="0" w:color="auto"/>
      </w:divBdr>
    </w:div>
    <w:div w:id="1045570358">
      <w:bodyDiv w:val="1"/>
      <w:marLeft w:val="0"/>
      <w:marRight w:val="0"/>
      <w:marTop w:val="0"/>
      <w:marBottom w:val="0"/>
      <w:divBdr>
        <w:top w:val="none" w:sz="0" w:space="0" w:color="auto"/>
        <w:left w:val="none" w:sz="0" w:space="0" w:color="auto"/>
        <w:bottom w:val="none" w:sz="0" w:space="0" w:color="auto"/>
        <w:right w:val="none" w:sz="0" w:space="0" w:color="auto"/>
      </w:divBdr>
    </w:div>
    <w:div w:id="1112280793">
      <w:bodyDiv w:val="1"/>
      <w:marLeft w:val="0"/>
      <w:marRight w:val="0"/>
      <w:marTop w:val="0"/>
      <w:marBottom w:val="0"/>
      <w:divBdr>
        <w:top w:val="none" w:sz="0" w:space="0" w:color="auto"/>
        <w:left w:val="none" w:sz="0" w:space="0" w:color="auto"/>
        <w:bottom w:val="none" w:sz="0" w:space="0" w:color="auto"/>
        <w:right w:val="none" w:sz="0" w:space="0" w:color="auto"/>
      </w:divBdr>
    </w:div>
    <w:div w:id="1383018208">
      <w:bodyDiv w:val="1"/>
      <w:marLeft w:val="0"/>
      <w:marRight w:val="0"/>
      <w:marTop w:val="0"/>
      <w:marBottom w:val="0"/>
      <w:divBdr>
        <w:top w:val="none" w:sz="0" w:space="0" w:color="auto"/>
        <w:left w:val="none" w:sz="0" w:space="0" w:color="auto"/>
        <w:bottom w:val="none" w:sz="0" w:space="0" w:color="auto"/>
        <w:right w:val="none" w:sz="0" w:space="0" w:color="auto"/>
      </w:divBdr>
    </w:div>
    <w:div w:id="1834834531">
      <w:bodyDiv w:val="1"/>
      <w:marLeft w:val="0"/>
      <w:marRight w:val="0"/>
      <w:marTop w:val="0"/>
      <w:marBottom w:val="0"/>
      <w:divBdr>
        <w:top w:val="none" w:sz="0" w:space="0" w:color="auto"/>
        <w:left w:val="none" w:sz="0" w:space="0" w:color="auto"/>
        <w:bottom w:val="none" w:sz="0" w:space="0" w:color="auto"/>
        <w:right w:val="none" w:sz="0" w:space="0" w:color="auto"/>
      </w:divBdr>
    </w:div>
    <w:div w:id="21212986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618</Words>
  <Characters>3528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Risch, Marcel</cp:lastModifiedBy>
  <cp:revision>4</cp:revision>
  <cp:lastPrinted>2013-10-21T12:07:00Z</cp:lastPrinted>
  <dcterms:created xsi:type="dcterms:W3CDTF">2026-06-23T13:02:00Z</dcterms:created>
  <dcterms:modified xsi:type="dcterms:W3CDTF">2026-06-23T13:36:00Z</dcterms:modified>
</cp:coreProperties>
</file>