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F1DF5" w14:textId="5EDF782D" w:rsidR="00325004" w:rsidRPr="00A86EB9" w:rsidRDefault="00AD2411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Low-Cost Nickel-based Catalyst </w:t>
      </w:r>
      <w:r w:rsidR="00DA524F">
        <w:rPr>
          <w:b/>
          <w:sz w:val="28"/>
        </w:rPr>
        <w:t>F</w:t>
      </w:r>
      <w:r>
        <w:rPr>
          <w:b/>
          <w:sz w:val="28"/>
        </w:rPr>
        <w:t xml:space="preserve">or </w:t>
      </w:r>
      <w:r w:rsidR="00DA524F">
        <w:rPr>
          <w:b/>
          <w:sz w:val="28"/>
        </w:rPr>
        <w:t>T</w:t>
      </w:r>
      <w:r w:rsidR="00FB4596">
        <w:rPr>
          <w:b/>
          <w:sz w:val="28"/>
        </w:rPr>
        <w:t xml:space="preserve">he Electrooxidation of </w:t>
      </w:r>
      <w:r w:rsidR="00DA524F">
        <w:rPr>
          <w:b/>
          <w:sz w:val="28"/>
        </w:rPr>
        <w:t>G</w:t>
      </w:r>
      <w:r w:rsidR="00FB4596">
        <w:rPr>
          <w:b/>
          <w:sz w:val="28"/>
        </w:rPr>
        <w:t>amma</w:t>
      </w:r>
      <w:r w:rsidR="007F479D">
        <w:rPr>
          <w:b/>
          <w:sz w:val="28"/>
        </w:rPr>
        <w:t>-</w:t>
      </w:r>
      <w:r w:rsidR="00FF3236">
        <w:rPr>
          <w:b/>
          <w:sz w:val="28"/>
        </w:rPr>
        <w:t>Hydroxybutyric Acid</w:t>
      </w:r>
      <w:r w:rsidR="00FB4596">
        <w:rPr>
          <w:b/>
          <w:sz w:val="28"/>
        </w:rPr>
        <w:t xml:space="preserve"> </w:t>
      </w:r>
      <w:r w:rsidR="003F68C8">
        <w:rPr>
          <w:b/>
          <w:sz w:val="28"/>
        </w:rPr>
        <w:t>P</w:t>
      </w:r>
      <w:r w:rsidR="00FB4596">
        <w:rPr>
          <w:b/>
          <w:sz w:val="28"/>
        </w:rPr>
        <w:t>recursors</w:t>
      </w:r>
    </w:p>
    <w:p w14:paraId="0E7D26A9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14C0EAC7" w14:textId="186E2BFE" w:rsidR="005E1BE8" w:rsidRPr="005E1BE8" w:rsidRDefault="003F68C8" w:rsidP="005E1BE8">
      <w:pPr>
        <w:jc w:val="center"/>
        <w:rPr>
          <w:vertAlign w:val="superscript"/>
          <w:lang w:val="en-GB"/>
        </w:rPr>
      </w:pPr>
      <w:r>
        <w:rPr>
          <w:u w:val="single"/>
        </w:rPr>
        <w:t>Morel Brinda Ntanhaning</w:t>
      </w:r>
      <w:r w:rsidR="00CE0469">
        <w:rPr>
          <w:u w:val="single"/>
          <w:vertAlign w:val="superscript"/>
        </w:rPr>
        <w:t>1</w:t>
      </w:r>
      <w:r w:rsidR="00325004">
        <w:t>,</w:t>
      </w:r>
      <w:r w:rsidR="005E1BE8">
        <w:t xml:space="preserve"> </w:t>
      </w:r>
      <w:r w:rsidR="005E1BE8" w:rsidRPr="005E1BE8">
        <w:rPr>
          <w:lang w:val="en-GB"/>
        </w:rPr>
        <w:t>Wojciech Mazurkiewicz</w:t>
      </w:r>
      <w:r w:rsidR="005E1BE8">
        <w:rPr>
          <w:vertAlign w:val="superscript"/>
          <w:lang w:val="en-GB"/>
        </w:rPr>
        <w:t>1</w:t>
      </w:r>
    </w:p>
    <w:p w14:paraId="7240CF2C" w14:textId="47FB7DE1" w:rsidR="00325004" w:rsidRPr="00CE0469" w:rsidRDefault="00325004" w:rsidP="00E0716D">
      <w:pPr>
        <w:jc w:val="center"/>
        <w:rPr>
          <w:vertAlign w:val="superscript"/>
        </w:rPr>
      </w:pPr>
      <w:r>
        <w:t xml:space="preserve"> </w:t>
      </w:r>
      <w:r w:rsidR="003F68C8">
        <w:t>Emilia Witkowska Nery</w:t>
      </w:r>
      <w:r w:rsidR="00CE0469">
        <w:rPr>
          <w:vertAlign w:val="superscript"/>
        </w:rPr>
        <w:t>1</w:t>
      </w:r>
      <w:r w:rsidR="00922D37">
        <w:t>,</w:t>
      </w:r>
      <w:r w:rsidR="00922D37" w:rsidRPr="00922D37">
        <w:t xml:space="preserve"> Aiswarya Manohar</w:t>
      </w:r>
      <w:r w:rsidR="00CE0469">
        <w:rPr>
          <w:vertAlign w:val="superscript"/>
        </w:rPr>
        <w:t>2</w:t>
      </w:r>
      <w:r w:rsidR="00F67B38">
        <w:t>,</w:t>
      </w:r>
      <w:r w:rsidR="005003D1" w:rsidRPr="005003D1">
        <w:t xml:space="preserve"> Franciszek Skiba</w:t>
      </w:r>
      <w:r w:rsidR="00CE0469">
        <w:rPr>
          <w:vertAlign w:val="superscript"/>
        </w:rPr>
        <w:t>2</w:t>
      </w:r>
      <w:r w:rsidR="005003D1">
        <w:t>,</w:t>
      </w:r>
      <w:r w:rsidR="00CE0469" w:rsidRPr="00CE0469">
        <w:t xml:space="preserve"> Jacek Ryl</w:t>
      </w:r>
      <w:r w:rsidR="00CE0469">
        <w:rPr>
          <w:vertAlign w:val="superscript"/>
        </w:rPr>
        <w:t>2</w:t>
      </w:r>
    </w:p>
    <w:p w14:paraId="3B58CA83" w14:textId="2DBC500D" w:rsidR="00325004" w:rsidRDefault="004F14CA" w:rsidP="00E0716D">
      <w:pPr>
        <w:jc w:val="center"/>
        <w:rPr>
          <w:i/>
        </w:rPr>
      </w:pPr>
      <w:r>
        <w:rPr>
          <w:i/>
          <w:vertAlign w:val="superscript"/>
        </w:rPr>
        <w:t>1</w:t>
      </w:r>
      <w:r w:rsidR="003F68C8">
        <w:rPr>
          <w:i/>
        </w:rPr>
        <w:t>Institute of Physical Chemistry, Polish Academy of Sciences</w:t>
      </w:r>
    </w:p>
    <w:p w14:paraId="591A0DFB" w14:textId="3FA16C7C" w:rsidR="004F14CA" w:rsidRPr="00322861" w:rsidRDefault="004F14CA" w:rsidP="00E0716D">
      <w:pPr>
        <w:jc w:val="center"/>
        <w:rPr>
          <w:i/>
        </w:rPr>
      </w:pPr>
      <w:r w:rsidRPr="00322861">
        <w:rPr>
          <w:i/>
          <w:vertAlign w:val="superscript"/>
        </w:rPr>
        <w:t>2</w:t>
      </w:r>
      <w:r w:rsidR="000760C3" w:rsidRPr="00322861">
        <w:rPr>
          <w:i/>
        </w:rPr>
        <w:t>Institute of Nanotechnology and Materials Engineering</w:t>
      </w:r>
      <w:r w:rsidR="00322861">
        <w:rPr>
          <w:i/>
        </w:rPr>
        <w:t xml:space="preserve">, </w:t>
      </w:r>
      <w:r w:rsidR="00372173" w:rsidRPr="00372173">
        <w:rPr>
          <w:i/>
        </w:rPr>
        <w:t>Gdańsk University of Technology</w:t>
      </w:r>
    </w:p>
    <w:p w14:paraId="7A513E83" w14:textId="03A9169B" w:rsidR="00CF0068" w:rsidRPr="00CF0068" w:rsidRDefault="00C655E2" w:rsidP="00CF0068">
      <w:pPr>
        <w:jc w:val="center"/>
        <w:rPr>
          <w:i/>
          <w:lang w:val="en-GB"/>
        </w:rPr>
      </w:pPr>
      <w:proofErr w:type="spellStart"/>
      <w:r>
        <w:rPr>
          <w:i/>
        </w:rPr>
        <w:t>Mar</w:t>
      </w:r>
      <w:r w:rsidR="00CF0068">
        <w:rPr>
          <w:i/>
        </w:rPr>
        <w:t>cina</w:t>
      </w:r>
      <w:proofErr w:type="spellEnd"/>
      <w:r w:rsidR="00CF0068">
        <w:rPr>
          <w:i/>
        </w:rPr>
        <w:t xml:space="preserve"> </w:t>
      </w:r>
      <w:proofErr w:type="spellStart"/>
      <w:r w:rsidR="00CF0068" w:rsidRPr="00CF0068">
        <w:rPr>
          <w:i/>
          <w:lang w:val="en-GB"/>
        </w:rPr>
        <w:t>Kasprzaka</w:t>
      </w:r>
      <w:proofErr w:type="spellEnd"/>
      <w:r w:rsidR="00CF0068" w:rsidRPr="00CF0068">
        <w:rPr>
          <w:i/>
          <w:lang w:val="en-GB"/>
        </w:rPr>
        <w:t xml:space="preserve"> Street 44/52</w:t>
      </w:r>
      <w:r w:rsidR="00CF0068">
        <w:rPr>
          <w:i/>
          <w:lang w:val="en-GB"/>
        </w:rPr>
        <w:t xml:space="preserve">, </w:t>
      </w:r>
      <w:r w:rsidR="00CF0068" w:rsidRPr="00CF0068">
        <w:rPr>
          <w:i/>
          <w:lang w:val="en-GB"/>
        </w:rPr>
        <w:t>01-224 Warsaw</w:t>
      </w:r>
    </w:p>
    <w:p w14:paraId="24EA8C4A" w14:textId="6C52DE14" w:rsidR="00685C1A" w:rsidRPr="00DA524F" w:rsidRDefault="00CF0068" w:rsidP="00E0716D">
      <w:pPr>
        <w:jc w:val="center"/>
        <w:rPr>
          <w:i/>
          <w:lang w:val="en-GB"/>
        </w:rPr>
      </w:pPr>
      <w:r w:rsidRPr="00DA524F">
        <w:rPr>
          <w:i/>
          <w:lang w:val="en-GB"/>
        </w:rPr>
        <w:t>morelbrinda@ichf.edu.pl</w:t>
      </w:r>
    </w:p>
    <w:p w14:paraId="5514B57E" w14:textId="77777777" w:rsidR="00325004" w:rsidRPr="00DA524F" w:rsidRDefault="00325004" w:rsidP="00E0716D">
      <w:pPr>
        <w:jc w:val="center"/>
        <w:rPr>
          <w:lang w:val="en-GB"/>
        </w:rPr>
      </w:pPr>
    </w:p>
    <w:p w14:paraId="7B196E79" w14:textId="479D4CBC" w:rsidR="00DA524F" w:rsidRPr="00DA524F" w:rsidRDefault="007F479D" w:rsidP="00DA524F">
      <w:pPr>
        <w:jc w:val="both"/>
        <w:rPr>
          <w:lang w:val="en-GB"/>
        </w:rPr>
      </w:pPr>
      <w:r>
        <w:rPr>
          <w:lang w:val="en-GB"/>
        </w:rPr>
        <w:t xml:space="preserve">Gamma-hydroxybutyric acid, </w:t>
      </w:r>
      <w:r w:rsidR="00895AB5">
        <w:rPr>
          <w:lang w:val="en-GB"/>
        </w:rPr>
        <w:t xml:space="preserve">commonly known as GHB, is a central nervous system depressant primarily used </w:t>
      </w:r>
      <w:r w:rsidR="00546307">
        <w:rPr>
          <w:lang w:val="en-GB"/>
        </w:rPr>
        <w:t>to treat various health conditions</w:t>
      </w:r>
      <w:r w:rsidR="0027512C">
        <w:rPr>
          <w:lang w:val="en-GB"/>
        </w:rPr>
        <w:t xml:space="preserve">. </w:t>
      </w:r>
      <w:r w:rsidR="00670C4A">
        <w:rPr>
          <w:lang w:val="en-GB"/>
        </w:rPr>
        <w:t>Nowadays, it is mainly misused among young people as a sedative and was therefore banned in society</w:t>
      </w:r>
      <w:r w:rsidR="006579C4">
        <w:rPr>
          <w:lang w:val="en-GB"/>
        </w:rPr>
        <w:t>[1]</w:t>
      </w:r>
      <w:r w:rsidR="00A903FF">
        <w:rPr>
          <w:lang w:val="en-GB"/>
        </w:rPr>
        <w:t xml:space="preserve">. </w:t>
      </w:r>
      <w:r w:rsidR="00670C4A">
        <w:rPr>
          <w:lang w:val="en-GB"/>
        </w:rPr>
        <w:t>However</w:t>
      </w:r>
      <w:r w:rsidR="00DB501A">
        <w:rPr>
          <w:lang w:val="en-GB"/>
        </w:rPr>
        <w:t>,</w:t>
      </w:r>
      <w:r w:rsidR="00670C4A">
        <w:rPr>
          <w:lang w:val="en-GB"/>
        </w:rPr>
        <w:t xml:space="preserve"> </w:t>
      </w:r>
      <w:r w:rsidR="00DB501A">
        <w:rPr>
          <w:lang w:val="en-GB"/>
        </w:rPr>
        <w:t>its precursors</w:t>
      </w:r>
      <w:r w:rsidR="00FD1E3E">
        <w:rPr>
          <w:lang w:val="en-GB"/>
        </w:rPr>
        <w:t>, 1,4-butanediol (1,4-BD) and gamma-butyrolactone (GBL), are readily</w:t>
      </w:r>
      <w:r w:rsidR="0087672B">
        <w:rPr>
          <w:lang w:val="en-GB"/>
        </w:rPr>
        <w:t xml:space="preserve"> available</w:t>
      </w:r>
      <w:r w:rsidR="00F22ACA">
        <w:rPr>
          <w:lang w:val="en-GB"/>
        </w:rPr>
        <w:t>, and in the body</w:t>
      </w:r>
      <w:r w:rsidR="00FD1E3E">
        <w:rPr>
          <w:lang w:val="en-GB"/>
        </w:rPr>
        <w:t>,</w:t>
      </w:r>
      <w:r w:rsidR="00F22ACA">
        <w:rPr>
          <w:lang w:val="en-GB"/>
        </w:rPr>
        <w:t xml:space="preserve"> they are quickly metabolized into GHB within seconds, often leading to pronounced physiological effects.</w:t>
      </w:r>
      <w:r w:rsidR="00FD1E3E">
        <w:rPr>
          <w:lang w:val="en-GB"/>
        </w:rPr>
        <w:t xml:space="preserve"> </w:t>
      </w:r>
      <w:r w:rsidR="00ED663D">
        <w:rPr>
          <w:lang w:val="en-GB"/>
        </w:rPr>
        <w:t xml:space="preserve">Moreover, </w:t>
      </w:r>
      <w:r w:rsidR="00EE5F8E">
        <w:rPr>
          <w:lang w:val="en-GB"/>
        </w:rPr>
        <w:t>these</w:t>
      </w:r>
      <w:r w:rsidR="00DA524F" w:rsidRPr="00DA524F">
        <w:rPr>
          <w:lang w:val="en-GB"/>
        </w:rPr>
        <w:t xml:space="preserve"> drugs are </w:t>
      </w:r>
      <w:r w:rsidR="00B953F5">
        <w:rPr>
          <w:lang w:val="en-GB"/>
        </w:rPr>
        <w:t>colorless, odorless, tasteless, rapidly eliminated from biological fluids, and structurally similar,</w:t>
      </w:r>
      <w:r w:rsidR="00DA524F" w:rsidRPr="00DA524F">
        <w:rPr>
          <w:lang w:val="en-GB"/>
        </w:rPr>
        <w:t xml:space="preserve"> which makes </w:t>
      </w:r>
      <w:r w:rsidR="00CC4E4F">
        <w:rPr>
          <w:lang w:val="en-GB"/>
        </w:rPr>
        <w:t>their</w:t>
      </w:r>
      <w:r w:rsidR="00DA524F" w:rsidRPr="00DA524F">
        <w:rPr>
          <w:lang w:val="en-GB"/>
        </w:rPr>
        <w:t xml:space="preserve"> forensic detection highly challenging</w:t>
      </w:r>
      <w:r w:rsidR="00977134">
        <w:rPr>
          <w:lang w:val="en-GB"/>
        </w:rPr>
        <w:t>[2]</w:t>
      </w:r>
      <w:r w:rsidR="00DA524F" w:rsidRPr="00DA524F">
        <w:rPr>
          <w:lang w:val="en-GB"/>
        </w:rPr>
        <w:t>.</w:t>
      </w:r>
    </w:p>
    <w:p w14:paraId="19B0135E" w14:textId="7C785A83" w:rsidR="00DA524F" w:rsidRPr="00DA524F" w:rsidRDefault="00DA524F" w:rsidP="00DA524F">
      <w:pPr>
        <w:jc w:val="both"/>
        <w:rPr>
          <w:lang w:val="en-GB"/>
        </w:rPr>
      </w:pPr>
      <w:r w:rsidRPr="00DA524F">
        <w:rPr>
          <w:lang w:val="en-GB"/>
        </w:rPr>
        <w:t>These factors highlight the urgent need for reliable, sensitive, and selective analytical methods capable of detecting both GHB and its precursor compounds.</w:t>
      </w:r>
    </w:p>
    <w:p w14:paraId="12E3B6EC" w14:textId="0F77069D" w:rsidR="00DA524F" w:rsidRDefault="00DA524F" w:rsidP="00DA524F">
      <w:pPr>
        <w:jc w:val="both"/>
        <w:rPr>
          <w:lang w:val="en-GB"/>
        </w:rPr>
      </w:pPr>
      <w:r w:rsidRPr="00DA524F">
        <w:rPr>
          <w:lang w:val="en-GB"/>
        </w:rPr>
        <w:t xml:space="preserve">While optical sensing approaches have been </w:t>
      </w:r>
      <w:r w:rsidR="00A5025E">
        <w:rPr>
          <w:lang w:val="en-GB"/>
        </w:rPr>
        <w:t xml:space="preserve">widely explored in the literature, they frequently suffer from limited selectivity, particularly when distinguishing structurally similar molecules, and often lack accurate quantification in complex matrices </w:t>
      </w:r>
      <w:r w:rsidRPr="00DA524F">
        <w:rPr>
          <w:lang w:val="en-GB"/>
        </w:rPr>
        <w:t>[3]. To overcome these limitations, we propose an electrochemical sensing platform based on a nickel-modified carbon electrode.</w:t>
      </w:r>
    </w:p>
    <w:p w14:paraId="44ED30EF" w14:textId="5EF20FAF" w:rsidR="00DA524F" w:rsidRPr="00DA524F" w:rsidRDefault="006A47B0" w:rsidP="00DA524F">
      <w:pPr>
        <w:jc w:val="both"/>
        <w:rPr>
          <w:lang w:val="en-GB"/>
        </w:rPr>
      </w:pPr>
      <w:r>
        <w:rPr>
          <w:lang w:val="en-GB"/>
        </w:rPr>
        <w:t>For this purpose, a laser-induced graphene electrode was prepared by engraving a Kapton foil using a carbon dioxide laser cutter. After this step, a two-electrode system consisting of a working and a counter electrode is formed</w:t>
      </w:r>
      <w:r w:rsidR="00241E97">
        <w:rPr>
          <w:lang w:val="en-GB"/>
        </w:rPr>
        <w:t>.</w:t>
      </w:r>
      <w:r w:rsidR="00A61B34">
        <w:rPr>
          <w:lang w:val="en-GB"/>
        </w:rPr>
        <w:t xml:space="preserve"> </w:t>
      </w:r>
      <w:r w:rsidR="00725A14">
        <w:rPr>
          <w:lang w:val="en-GB"/>
        </w:rPr>
        <w:t xml:space="preserve">Following </w:t>
      </w:r>
      <w:r w:rsidR="0057234B">
        <w:rPr>
          <w:lang w:val="en-GB"/>
        </w:rPr>
        <w:t xml:space="preserve">that, </w:t>
      </w:r>
      <w:r w:rsidR="00DA524F" w:rsidRPr="00DA524F">
        <w:rPr>
          <w:lang w:val="en-GB"/>
        </w:rPr>
        <w:t>nickel nanoparticles are electrodeposited onto the</w:t>
      </w:r>
      <w:r w:rsidR="0057234B">
        <w:rPr>
          <w:lang w:val="en-GB"/>
        </w:rPr>
        <w:t xml:space="preserve"> </w:t>
      </w:r>
      <w:r w:rsidR="00DA524F" w:rsidRPr="00DA524F">
        <w:rPr>
          <w:lang w:val="en-GB"/>
        </w:rPr>
        <w:t>electrode surface by applying a constant potential</w:t>
      </w:r>
      <w:r w:rsidR="00986833">
        <w:rPr>
          <w:lang w:val="en-GB"/>
        </w:rPr>
        <w:t>, which triggers the reduction of nickel(II)</w:t>
      </w:r>
      <w:r w:rsidR="00B36893">
        <w:rPr>
          <w:lang w:val="en-GB"/>
        </w:rPr>
        <w:t xml:space="preserve"> ions</w:t>
      </w:r>
      <w:r w:rsidR="00986833">
        <w:rPr>
          <w:lang w:val="en-GB"/>
        </w:rPr>
        <w:t xml:space="preserve"> in solution to nickel</w:t>
      </w:r>
      <w:r w:rsidR="00102D6F">
        <w:rPr>
          <w:lang w:val="en-GB"/>
        </w:rPr>
        <w:t xml:space="preserve"> </w:t>
      </w:r>
      <w:r w:rsidR="002133C5">
        <w:rPr>
          <w:lang w:val="en-GB"/>
        </w:rPr>
        <w:t>deposited on the ele</w:t>
      </w:r>
      <w:r w:rsidR="00986833">
        <w:rPr>
          <w:lang w:val="en-GB"/>
        </w:rPr>
        <w:t>ctrode</w:t>
      </w:r>
      <w:r w:rsidR="00DA524F" w:rsidRPr="00DA524F">
        <w:rPr>
          <w:lang w:val="en-GB"/>
        </w:rPr>
        <w:t xml:space="preserve">. Subsequent electrochemical activation results in the formation of a stable and uniform Ni(OH)₂/NiOOH redox layer. </w:t>
      </w:r>
      <w:r w:rsidR="00280C4A" w:rsidRPr="00DA524F">
        <w:rPr>
          <w:lang w:val="en-GB"/>
        </w:rPr>
        <w:t>Although these compounds are inherently non-electroactive under standard conditions, the Ni(II)/Ni(III) redox couple facilitates their oxidation by acting as an efficient electrocatalyst.</w:t>
      </w:r>
      <w:r w:rsidR="00280C4A">
        <w:rPr>
          <w:lang w:val="en-GB"/>
        </w:rPr>
        <w:t xml:space="preserve"> </w:t>
      </w:r>
      <w:r w:rsidR="00DA524F" w:rsidRPr="00DA524F">
        <w:rPr>
          <w:lang w:val="en-GB"/>
        </w:rPr>
        <w:t xml:space="preserve">This modified electrode exhibits strong electrocatalytic activity toward the oxidation of 1,4-BD and GBL in alkaline media. </w:t>
      </w:r>
    </w:p>
    <w:p w14:paraId="5A7B1950" w14:textId="77777777" w:rsidR="00DA524F" w:rsidRDefault="00DA524F" w:rsidP="00DA524F">
      <w:pPr>
        <w:jc w:val="both"/>
        <w:rPr>
          <w:lang w:val="en-GB"/>
        </w:rPr>
      </w:pPr>
      <w:r w:rsidRPr="00DA524F">
        <w:rPr>
          <w:lang w:val="en-GB"/>
        </w:rPr>
        <w:t>The performance of the sensing platform is further evaluated in real sample matrices, demonstrating its practical applicability. Overall, this electrochemical approach offers a simple, sensitive, and potentially selective method for detecting date-rape drug precursors in complex environments, representing a promising alternative to conventional optical techniques.</w:t>
      </w:r>
    </w:p>
    <w:p w14:paraId="4E08F024" w14:textId="71AA98C0" w:rsidR="00523467" w:rsidRDefault="00EB0D4F" w:rsidP="004C7B38">
      <w:pPr>
        <w:jc w:val="both"/>
        <w:rPr>
          <w:lang w:val="en-GB"/>
        </w:rPr>
      </w:pPr>
      <w:r w:rsidRPr="00EB0D4F">
        <w:t xml:space="preserve">The research was funded by the National Science </w:t>
      </w:r>
      <w:r>
        <w:t>Center, NCN, Poland: project Sonata BIS 13: “Unlocking the potential of ion-transfer voltammetry-based</w:t>
      </w:r>
      <w:r w:rsidRPr="00EB0D4F">
        <w:t xml:space="preserve"> electronic tongues for date-rape drug detection in real samples” 2023/50/E/ST4/00639 project.</w:t>
      </w:r>
    </w:p>
    <w:p w14:paraId="4A16DB67" w14:textId="77777777" w:rsidR="00523467" w:rsidRPr="00523467" w:rsidRDefault="00523467" w:rsidP="004C7B38">
      <w:pPr>
        <w:jc w:val="both"/>
        <w:rPr>
          <w:lang w:val="en-GB"/>
        </w:rPr>
      </w:pPr>
      <w:r w:rsidRPr="00523467">
        <w:rPr>
          <w:bCs/>
          <w:lang w:val="en-GB"/>
        </w:rPr>
        <w:t xml:space="preserve">[1] J. A. Hall, C. B. T. Moore, </w:t>
      </w:r>
      <w:r w:rsidRPr="00523467">
        <w:rPr>
          <w:i/>
          <w:iCs/>
          <w:lang w:val="en-GB"/>
        </w:rPr>
        <w:t xml:space="preserve">J. Forensic Leg. Med. </w:t>
      </w:r>
      <w:r w:rsidRPr="00523467">
        <w:rPr>
          <w:bCs/>
          <w:lang w:val="en-GB"/>
        </w:rPr>
        <w:t>15 (2008), 291-297.</w:t>
      </w:r>
    </w:p>
    <w:p w14:paraId="69EBD003" w14:textId="77777777" w:rsidR="00523467" w:rsidRPr="00523467" w:rsidRDefault="00523467" w:rsidP="004C7B38">
      <w:pPr>
        <w:tabs>
          <w:tab w:val="left" w:pos="7360"/>
        </w:tabs>
        <w:jc w:val="both"/>
        <w:rPr>
          <w:bCs/>
          <w:lang w:val="en-GB"/>
        </w:rPr>
      </w:pPr>
      <w:r w:rsidRPr="00523467">
        <w:rPr>
          <w:bCs/>
          <w:lang w:val="en-GB"/>
        </w:rPr>
        <w:t xml:space="preserve">[2] M. G. García, M. D. </w:t>
      </w:r>
      <w:r w:rsidRPr="00523467">
        <w:rPr>
          <w:lang w:val="en-GB"/>
        </w:rPr>
        <w:t>Pérez-</w:t>
      </w:r>
      <w:proofErr w:type="spellStart"/>
      <w:r w:rsidRPr="00523467">
        <w:rPr>
          <w:lang w:val="en-GB"/>
        </w:rPr>
        <w:t>Cárceles</w:t>
      </w:r>
      <w:proofErr w:type="spellEnd"/>
      <w:r w:rsidRPr="00523467">
        <w:rPr>
          <w:bCs/>
          <w:lang w:val="en-GB"/>
        </w:rPr>
        <w:t xml:space="preserve">, E. Osuna, </w:t>
      </w:r>
      <w:r w:rsidRPr="00523467">
        <w:rPr>
          <w:i/>
          <w:iCs/>
          <w:lang w:val="en-GB"/>
        </w:rPr>
        <w:t xml:space="preserve">J. Forensic Leg. Med. </w:t>
      </w:r>
      <w:r w:rsidRPr="00523467">
        <w:rPr>
          <w:bCs/>
          <w:lang w:val="en-GB"/>
        </w:rPr>
        <w:t>79 (2021), 102-151</w:t>
      </w:r>
    </w:p>
    <w:p w14:paraId="1697FBE1" w14:textId="77777777" w:rsidR="00523467" w:rsidRPr="00523467" w:rsidRDefault="00523467" w:rsidP="004C7B38">
      <w:pPr>
        <w:tabs>
          <w:tab w:val="left" w:pos="7360"/>
        </w:tabs>
        <w:jc w:val="both"/>
        <w:rPr>
          <w:lang w:val="fr-FR"/>
        </w:rPr>
      </w:pPr>
      <w:r w:rsidRPr="00523467">
        <w:rPr>
          <w:lang w:val="fr-FR"/>
        </w:rPr>
        <w:t xml:space="preserve">[3] L. A. Baumes, M. S. </w:t>
      </w:r>
      <w:proofErr w:type="spellStart"/>
      <w:r w:rsidRPr="00523467">
        <w:rPr>
          <w:lang w:val="fr-FR"/>
        </w:rPr>
        <w:t>Buaki</w:t>
      </w:r>
      <w:proofErr w:type="spellEnd"/>
      <w:r w:rsidRPr="00523467">
        <w:rPr>
          <w:lang w:val="fr-FR"/>
        </w:rPr>
        <w:t xml:space="preserve">, P. M. Navajas, A. </w:t>
      </w:r>
      <w:proofErr w:type="spellStart"/>
      <w:r w:rsidRPr="00523467">
        <w:rPr>
          <w:lang w:val="fr-FR"/>
        </w:rPr>
        <w:t>Corma</w:t>
      </w:r>
      <w:proofErr w:type="spellEnd"/>
      <w:r w:rsidRPr="00523467">
        <w:rPr>
          <w:lang w:val="fr-FR"/>
        </w:rPr>
        <w:t xml:space="preserve">, H. Garcia, </w:t>
      </w:r>
      <w:proofErr w:type="spellStart"/>
      <w:r w:rsidRPr="00523467">
        <w:rPr>
          <w:i/>
          <w:iCs/>
          <w:lang w:val="fr-FR"/>
        </w:rPr>
        <w:t>Chem</w:t>
      </w:r>
      <w:proofErr w:type="spellEnd"/>
      <w:r w:rsidRPr="00523467">
        <w:rPr>
          <w:i/>
          <w:iCs/>
          <w:lang w:val="fr-FR"/>
        </w:rPr>
        <w:t xml:space="preserve">. – </w:t>
      </w:r>
      <w:proofErr w:type="spellStart"/>
      <w:r w:rsidRPr="00523467">
        <w:rPr>
          <w:i/>
          <w:iCs/>
          <w:lang w:val="fr-FR"/>
        </w:rPr>
        <w:t>Eur</w:t>
      </w:r>
      <w:proofErr w:type="spellEnd"/>
      <w:r w:rsidRPr="00523467">
        <w:rPr>
          <w:i/>
          <w:iCs/>
          <w:lang w:val="fr-FR"/>
        </w:rPr>
        <w:t>. J.</w:t>
      </w:r>
      <w:r w:rsidRPr="00523467">
        <w:rPr>
          <w:lang w:val="fr-FR"/>
        </w:rPr>
        <w:t xml:space="preserve"> 16 (2010), 4489–4495.</w:t>
      </w:r>
    </w:p>
    <w:p w14:paraId="1452DDE2" w14:textId="77777777" w:rsidR="00523467" w:rsidRPr="00523467" w:rsidRDefault="00523467" w:rsidP="00DA524F">
      <w:pPr>
        <w:jc w:val="both"/>
        <w:rPr>
          <w:lang w:val="fr-FR"/>
        </w:rPr>
      </w:pPr>
    </w:p>
    <w:p w14:paraId="4BA1EF6E" w14:textId="2BDD1BCE" w:rsidR="00E0716D" w:rsidRPr="001D3E91" w:rsidRDefault="00E0716D" w:rsidP="00E0716D">
      <w:pPr>
        <w:ind w:left="709"/>
        <w:jc w:val="both"/>
        <w:rPr>
          <w:lang w:val="fr-FR"/>
        </w:rPr>
      </w:pPr>
    </w:p>
    <w:p w14:paraId="1E6B2475" w14:textId="77777777" w:rsidR="00325004" w:rsidRPr="001D3E91" w:rsidRDefault="00325004" w:rsidP="00E0716D">
      <w:pPr>
        <w:jc w:val="both"/>
        <w:rPr>
          <w:lang w:val="fr-FR"/>
        </w:rPr>
      </w:pPr>
    </w:p>
    <w:p w14:paraId="0F6259A6" w14:textId="77777777" w:rsidR="00325004" w:rsidRPr="001D3E91" w:rsidRDefault="00325004" w:rsidP="00E0716D">
      <w:pPr>
        <w:jc w:val="both"/>
        <w:rPr>
          <w:lang w:val="fr-FR"/>
        </w:rPr>
      </w:pPr>
    </w:p>
    <w:p w14:paraId="4B15F12C" w14:textId="77777777" w:rsidR="00E0716D" w:rsidRPr="001D3E91" w:rsidRDefault="00E0716D" w:rsidP="00E0716D">
      <w:pPr>
        <w:jc w:val="both"/>
        <w:rPr>
          <w:lang w:val="fr-FR"/>
        </w:rPr>
      </w:pPr>
    </w:p>
    <w:sectPr w:rsidR="00E0716D" w:rsidRPr="001D3E91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10699"/>
    <w:rsid w:val="00041EFD"/>
    <w:rsid w:val="000729E4"/>
    <w:rsid w:val="000760C3"/>
    <w:rsid w:val="0010150C"/>
    <w:rsid w:val="00102D6F"/>
    <w:rsid w:val="0011679D"/>
    <w:rsid w:val="001B1A89"/>
    <w:rsid w:val="001C305A"/>
    <w:rsid w:val="001D3E91"/>
    <w:rsid w:val="001D48B8"/>
    <w:rsid w:val="002133C5"/>
    <w:rsid w:val="00241E97"/>
    <w:rsid w:val="0027512C"/>
    <w:rsid w:val="00280C4A"/>
    <w:rsid w:val="002E5A96"/>
    <w:rsid w:val="002F1077"/>
    <w:rsid w:val="00322861"/>
    <w:rsid w:val="00325004"/>
    <w:rsid w:val="003705D9"/>
    <w:rsid w:val="00372173"/>
    <w:rsid w:val="003F68C8"/>
    <w:rsid w:val="00413425"/>
    <w:rsid w:val="004465AC"/>
    <w:rsid w:val="00484C2A"/>
    <w:rsid w:val="004C76C5"/>
    <w:rsid w:val="004C7B38"/>
    <w:rsid w:val="004F14CA"/>
    <w:rsid w:val="005003D1"/>
    <w:rsid w:val="00523467"/>
    <w:rsid w:val="00536366"/>
    <w:rsid w:val="00542388"/>
    <w:rsid w:val="00542D94"/>
    <w:rsid w:val="00546307"/>
    <w:rsid w:val="0057234B"/>
    <w:rsid w:val="005D4D15"/>
    <w:rsid w:val="005E1BE8"/>
    <w:rsid w:val="00636AAC"/>
    <w:rsid w:val="00640E10"/>
    <w:rsid w:val="00650473"/>
    <w:rsid w:val="006579C4"/>
    <w:rsid w:val="00670C4A"/>
    <w:rsid w:val="00685C1A"/>
    <w:rsid w:val="006A47B0"/>
    <w:rsid w:val="006F0837"/>
    <w:rsid w:val="00725A14"/>
    <w:rsid w:val="00727A1A"/>
    <w:rsid w:val="007C23E6"/>
    <w:rsid w:val="007F479D"/>
    <w:rsid w:val="0087672B"/>
    <w:rsid w:val="00895AB5"/>
    <w:rsid w:val="008D472A"/>
    <w:rsid w:val="008D6247"/>
    <w:rsid w:val="008F7A68"/>
    <w:rsid w:val="00911F44"/>
    <w:rsid w:val="00915180"/>
    <w:rsid w:val="00922D37"/>
    <w:rsid w:val="009452E9"/>
    <w:rsid w:val="00977134"/>
    <w:rsid w:val="00986833"/>
    <w:rsid w:val="009A7A02"/>
    <w:rsid w:val="009F2ED5"/>
    <w:rsid w:val="00A5025E"/>
    <w:rsid w:val="00A61B34"/>
    <w:rsid w:val="00A66A69"/>
    <w:rsid w:val="00A903FF"/>
    <w:rsid w:val="00A93BBF"/>
    <w:rsid w:val="00AD2411"/>
    <w:rsid w:val="00B36893"/>
    <w:rsid w:val="00B953F5"/>
    <w:rsid w:val="00BE0B29"/>
    <w:rsid w:val="00C655E2"/>
    <w:rsid w:val="00C671F0"/>
    <w:rsid w:val="00C742CC"/>
    <w:rsid w:val="00CA4B5E"/>
    <w:rsid w:val="00CC4E4F"/>
    <w:rsid w:val="00CE0469"/>
    <w:rsid w:val="00CF0068"/>
    <w:rsid w:val="00DA524F"/>
    <w:rsid w:val="00DB501A"/>
    <w:rsid w:val="00DD6C34"/>
    <w:rsid w:val="00E0716D"/>
    <w:rsid w:val="00E75E50"/>
    <w:rsid w:val="00EB0D4F"/>
    <w:rsid w:val="00EC26C0"/>
    <w:rsid w:val="00ED663D"/>
    <w:rsid w:val="00EE5F8E"/>
    <w:rsid w:val="00EF30D6"/>
    <w:rsid w:val="00F01C72"/>
    <w:rsid w:val="00F22ACA"/>
    <w:rsid w:val="00F67B38"/>
    <w:rsid w:val="00F85BAD"/>
    <w:rsid w:val="00F97641"/>
    <w:rsid w:val="00FB4596"/>
    <w:rsid w:val="00FD0E07"/>
    <w:rsid w:val="00FD1E3E"/>
    <w:rsid w:val="00FF3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B21E38"/>
  <w14:defaultImageDpi w14:val="300"/>
  <w15:docId w15:val="{126CCD66-3AC9-46C8-B6BD-60F0E83CC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00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619</TotalTime>
  <Pages>1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Morel Brinda Ntanhaning Medonjeu</cp:lastModifiedBy>
  <cp:revision>88</cp:revision>
  <cp:lastPrinted>2013-10-21T12:07:00Z</cp:lastPrinted>
  <dcterms:created xsi:type="dcterms:W3CDTF">2026-05-14T20:01:00Z</dcterms:created>
  <dcterms:modified xsi:type="dcterms:W3CDTF">2026-05-21T12:39:00Z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277204fe-8a6b-41e4-8d1e-870bcf544996</vt:lpwstr>
  </property>
</Properties>
</file>