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16691" w14:textId="0FF0EE33" w:rsidR="00325004" w:rsidRPr="00A86EB9" w:rsidRDefault="00DD68BB" w:rsidP="00E0716D">
      <w:pPr>
        <w:jc w:val="center"/>
        <w:rPr>
          <w:b/>
          <w:sz w:val="28"/>
        </w:rPr>
      </w:pPr>
      <w:r>
        <w:rPr>
          <w:b/>
          <w:sz w:val="28"/>
        </w:rPr>
        <w:t>Evaluating</w:t>
      </w:r>
      <w:r w:rsidR="008F3FE0">
        <w:rPr>
          <w:b/>
          <w:sz w:val="28"/>
        </w:rPr>
        <w:t xml:space="preserve"> the</w:t>
      </w:r>
      <w:r>
        <w:rPr>
          <w:b/>
          <w:sz w:val="28"/>
        </w:rPr>
        <w:t xml:space="preserve"> Influence of Applied Potential on Sensor Biofouling and </w:t>
      </w:r>
      <w:r w:rsidR="00DA387F">
        <w:rPr>
          <w:b/>
          <w:sz w:val="28"/>
        </w:rPr>
        <w:t xml:space="preserve">Subsequent </w:t>
      </w:r>
      <w:r>
        <w:rPr>
          <w:b/>
          <w:sz w:val="28"/>
        </w:rPr>
        <w:t>Performance: A Combined CV, EIS, and EQCM-D Study</w:t>
      </w:r>
    </w:p>
    <w:p w14:paraId="7B987D0C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240242AB" w14:textId="781CA365" w:rsidR="00325004" w:rsidRDefault="00DD68BB" w:rsidP="00E0716D">
      <w:pPr>
        <w:jc w:val="center"/>
      </w:pPr>
      <w:r>
        <w:rPr>
          <w:u w:val="single"/>
        </w:rPr>
        <w:t>Naela Delmo</w:t>
      </w:r>
      <w:r w:rsidRPr="00DD68BB">
        <w:rPr>
          <w:u w:val="single"/>
          <w:vertAlign w:val="superscript"/>
        </w:rPr>
        <w:t>1</w:t>
      </w:r>
      <w:r w:rsidR="00325004">
        <w:t xml:space="preserve">, </w:t>
      </w:r>
      <w:r w:rsidRPr="00DD68BB">
        <w:t>Anna</w:t>
      </w:r>
      <w:r w:rsidR="00A65A19">
        <w:t xml:space="preserve"> </w:t>
      </w:r>
      <w:r w:rsidRPr="00DD68BB">
        <w:t>Igual-Muñoz</w:t>
      </w:r>
      <w:r w:rsidRPr="00DD68BB">
        <w:rPr>
          <w:vertAlign w:val="superscript"/>
        </w:rPr>
        <w:t>2</w:t>
      </w:r>
      <w:r w:rsidRPr="00DD68BB">
        <w:t>, and Emilia Peltola</w:t>
      </w:r>
      <w:r w:rsidRPr="00DD68BB">
        <w:rPr>
          <w:vertAlign w:val="superscript"/>
        </w:rPr>
        <w:t>1</w:t>
      </w:r>
    </w:p>
    <w:p w14:paraId="6711C8B5" w14:textId="77777777" w:rsidR="00DD68BB" w:rsidRPr="00DD68BB" w:rsidRDefault="00DD68BB" w:rsidP="00DD68BB">
      <w:pPr>
        <w:jc w:val="center"/>
        <w:rPr>
          <w:i/>
          <w:lang w:val="en-GB"/>
        </w:rPr>
      </w:pPr>
      <w:r w:rsidRPr="00DD68BB">
        <w:rPr>
          <w:i/>
          <w:vertAlign w:val="superscript"/>
          <w:lang w:val="en-GB"/>
        </w:rPr>
        <w:t>1</w:t>
      </w:r>
      <w:r w:rsidRPr="00DD68BB">
        <w:rPr>
          <w:i/>
          <w:lang w:val="en-GB"/>
        </w:rPr>
        <w:t>Department of Mechanical and Materials Engineering, Faculty of Technology, University of Turku, 20500 Turku, Finland </w:t>
      </w:r>
    </w:p>
    <w:p w14:paraId="304DB6F3" w14:textId="77777777" w:rsidR="00DD68BB" w:rsidRPr="00DD68BB" w:rsidRDefault="00DD68BB" w:rsidP="00DD68BB">
      <w:pPr>
        <w:jc w:val="center"/>
        <w:rPr>
          <w:i/>
          <w:lang w:val="en-GB"/>
        </w:rPr>
      </w:pPr>
      <w:r w:rsidRPr="00DD68BB">
        <w:rPr>
          <w:i/>
          <w:vertAlign w:val="superscript"/>
          <w:lang w:val="en-GB"/>
        </w:rPr>
        <w:t>2</w:t>
      </w:r>
      <w:r w:rsidRPr="00DD68BB">
        <w:rPr>
          <w:i/>
          <w:lang w:val="en-GB"/>
        </w:rPr>
        <w:t>Tribology and Interfacial Chemistry Group, École Polytechnique Fédérale de Lausanne, CH-1015 Lausanne, Switzerland </w:t>
      </w:r>
    </w:p>
    <w:p w14:paraId="4DB47CF1" w14:textId="15F87D9E" w:rsidR="00685C1A" w:rsidRPr="00685C1A" w:rsidRDefault="00DD68BB" w:rsidP="00E0716D">
      <w:pPr>
        <w:jc w:val="center"/>
        <w:rPr>
          <w:i/>
        </w:rPr>
      </w:pPr>
      <w:r>
        <w:rPr>
          <w:i/>
        </w:rPr>
        <w:t>naela.v.delmo@utu.fi</w:t>
      </w:r>
    </w:p>
    <w:p w14:paraId="6DF15C0E" w14:textId="77777777" w:rsidR="00DA387F" w:rsidRDefault="00DA387F" w:rsidP="00E0716D">
      <w:pPr>
        <w:jc w:val="both"/>
      </w:pPr>
    </w:p>
    <w:p w14:paraId="36EDBBED" w14:textId="77777777" w:rsidR="00DA387F" w:rsidRDefault="00DA387F" w:rsidP="00E0716D">
      <w:pPr>
        <w:jc w:val="both"/>
      </w:pPr>
    </w:p>
    <w:p w14:paraId="29FDA75C" w14:textId="0357C804" w:rsidR="00DA387F" w:rsidRDefault="00634CAB" w:rsidP="00634CAB">
      <w:pPr>
        <w:jc w:val="center"/>
      </w:pPr>
      <w:r>
        <w:rPr>
          <w:noProof/>
        </w:rPr>
        <w:drawing>
          <wp:inline distT="0" distB="0" distL="0" distR="0" wp14:anchorId="3AE660D2" wp14:editId="3829AD3C">
            <wp:extent cx="4867324" cy="1892474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308" cy="1904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A476C0" w14:textId="43E5528E" w:rsidR="00634CAB" w:rsidRDefault="00634CAB" w:rsidP="00634CAB">
      <w:pPr>
        <w:jc w:val="both"/>
      </w:pPr>
      <w:r>
        <w:t>Electrochemical sensors for health monitoring in the form of implantable or wearable devices rely on continuous in vivo measurements. However, the non-specific binding of fouling agents such as proteins onto the sensor surface remains a critical challenge that hinders real-world applications [1]. Extensive efforts have been made towards antifouling strategies like coatings; but electrochemical control presents a dynamic yet under-explored approach to study and modulate biofouling, especially when protein-surface interactions are found to be affected by electric potential [2]. Moreover, because inner-sphere (ISR) and outer-sphere redox (OSR) probes respond differently to biofouling [3], fine-tuning protein adsorption relative to the analyte electron transfer mechanism offers a step towards more robust sensors. Here, we systematically investigate the effect of applied positive (+E) or negative (-E) potential during the adsorption of the negatively charged bovine serum albumin (BSA) at physiological conditions on gold and graphitic carbon surfaces. Cyclic voltammetry demonstrated greater peak-to-peak separation </w:t>
      </w:r>
      <w:proofErr w:type="spellStart"/>
      <w:r>
        <w:t>ΔE</w:t>
      </w:r>
      <w:r w:rsidRPr="7C431B9F">
        <w:rPr>
          <w:vertAlign w:val="subscript"/>
        </w:rPr>
        <w:t>p</w:t>
      </w:r>
      <w:proofErr w:type="spellEnd"/>
      <w:r>
        <w:t> at +E fouling conditions than at -E. The electrostatic effect was most pronounced on surface sensitive [Fe (CN)</w:t>
      </w:r>
      <w:r w:rsidRPr="7C431B9F">
        <w:rPr>
          <w:vertAlign w:val="subscript"/>
        </w:rPr>
        <w:t>6</w:t>
      </w:r>
      <w:r>
        <w:t>]</w:t>
      </w:r>
      <w:r w:rsidRPr="7C431B9F">
        <w:rPr>
          <w:vertAlign w:val="superscript"/>
        </w:rPr>
        <w:t>3-/4-</w:t>
      </w:r>
      <w:r>
        <w:t> and dopamine ISR probes compared to the [Ru (NH</w:t>
      </w:r>
      <w:r w:rsidRPr="7C431B9F">
        <w:rPr>
          <w:vertAlign w:val="subscript"/>
        </w:rPr>
        <w:t>3</w:t>
      </w:r>
      <w:r>
        <w:t>)</w:t>
      </w:r>
      <w:r w:rsidRPr="7C431B9F">
        <w:rPr>
          <w:vertAlign w:val="subscript"/>
        </w:rPr>
        <w:t>6</w:t>
      </w:r>
      <w:r>
        <w:t>]</w:t>
      </w:r>
      <w:r w:rsidRPr="7C431B9F">
        <w:rPr>
          <w:vertAlign w:val="superscript"/>
        </w:rPr>
        <w:t>2+/3+</w:t>
      </w:r>
      <w:r>
        <w:t xml:space="preserve"> OSR. In line with this, electrochemical impedance spectroscopy (EIS) revealed larger charge transfer resistance in SPEs fouled at +E, indicating slower kinetics compared to BSA fouling at -E. Lastly, electrochemical quartz crystal microbalance with dissipation monitoring (EQCM-D) showed that the applied potential affects not only the amount but also the arrangement and conformation behavior of adsorbed BSA. </w:t>
      </w:r>
      <w:r w:rsidR="00BA6950">
        <w:t>Collectively, t</w:t>
      </w:r>
      <w:r>
        <w:t>hese results provide insights on how electrochemical techniques can be used to both control and characterize protein adsorption. We use this information to propose a model for BSA adsorption on electrified surfaces.</w:t>
      </w:r>
    </w:p>
    <w:p w14:paraId="713EB784" w14:textId="77777777" w:rsidR="00325004" w:rsidRDefault="00325004" w:rsidP="00E0716D">
      <w:pPr>
        <w:jc w:val="both"/>
      </w:pPr>
    </w:p>
    <w:p w14:paraId="0E132FFA" w14:textId="77777777" w:rsidR="00E0716D" w:rsidRDefault="00E0716D" w:rsidP="00E0716D">
      <w:pPr>
        <w:jc w:val="both"/>
      </w:pPr>
    </w:p>
    <w:p w14:paraId="61BE44C1" w14:textId="3A801BBD" w:rsidR="00976000" w:rsidRPr="00634CAB" w:rsidRDefault="00976000" w:rsidP="00976000">
      <w:pPr>
        <w:jc w:val="both"/>
        <w:rPr>
          <w:lang w:val="en-GB"/>
        </w:rPr>
      </w:pPr>
      <w:r w:rsidRPr="00976000">
        <w:rPr>
          <w:lang w:val="sv-SE"/>
        </w:rPr>
        <w:t>[1] Rivera, P</w:t>
      </w:r>
      <w:r w:rsidR="005326B0">
        <w:rPr>
          <w:lang w:val="sv-SE"/>
        </w:rPr>
        <w:t>.</w:t>
      </w:r>
      <w:r w:rsidRPr="00976000">
        <w:rPr>
          <w:lang w:val="sv-SE"/>
        </w:rPr>
        <w:t>, Della Pelle</w:t>
      </w:r>
      <w:r w:rsidR="005326B0">
        <w:rPr>
          <w:lang w:val="sv-SE"/>
        </w:rPr>
        <w:t>, F.</w:t>
      </w:r>
      <w:r w:rsidRPr="00976000">
        <w:rPr>
          <w:lang w:val="sv-SE"/>
        </w:rPr>
        <w:t xml:space="preserve">, </w:t>
      </w:r>
      <w:proofErr w:type="spellStart"/>
      <w:r w:rsidRPr="00976000">
        <w:rPr>
          <w:lang w:val="sv-SE"/>
        </w:rPr>
        <w:t>Stonyte</w:t>
      </w:r>
      <w:proofErr w:type="spellEnd"/>
      <w:r w:rsidRPr="00976000">
        <w:rPr>
          <w:lang w:val="sv-SE"/>
        </w:rPr>
        <w:t>,</w:t>
      </w:r>
      <w:r w:rsidR="005326B0">
        <w:rPr>
          <w:lang w:val="sv-SE"/>
        </w:rPr>
        <w:t xml:space="preserve"> J., CMA</w:t>
      </w:r>
      <w:r w:rsidR="005326B0" w:rsidRPr="00976000">
        <w:rPr>
          <w:lang w:val="sv-SE"/>
        </w:rPr>
        <w:t xml:space="preserve"> </w:t>
      </w:r>
      <w:r w:rsidRPr="00976000">
        <w:rPr>
          <w:lang w:val="sv-SE"/>
        </w:rPr>
        <w:t xml:space="preserve">De </w:t>
      </w:r>
      <w:proofErr w:type="spellStart"/>
      <w:r w:rsidRPr="00976000">
        <w:rPr>
          <w:lang w:val="sv-SE"/>
        </w:rPr>
        <w:t>Melo</w:t>
      </w:r>
      <w:proofErr w:type="spellEnd"/>
      <w:r w:rsidR="005326B0">
        <w:rPr>
          <w:lang w:val="sv-SE"/>
        </w:rPr>
        <w:t xml:space="preserve"> W</w:t>
      </w:r>
      <w:r w:rsidRPr="00976000">
        <w:rPr>
          <w:lang w:val="sv-SE"/>
        </w:rPr>
        <w:t>,</w:t>
      </w:r>
      <w:r w:rsidR="005326B0" w:rsidRPr="00976000">
        <w:rPr>
          <w:lang w:val="sv-SE"/>
        </w:rPr>
        <w:t xml:space="preserve"> </w:t>
      </w:r>
      <w:r w:rsidRPr="00976000">
        <w:rPr>
          <w:lang w:val="sv-SE"/>
        </w:rPr>
        <w:t>Abouhagger</w:t>
      </w:r>
      <w:r w:rsidR="005326B0">
        <w:rPr>
          <w:lang w:val="sv-SE"/>
        </w:rPr>
        <w:t>, A.</w:t>
      </w:r>
      <w:r w:rsidRPr="00976000">
        <w:rPr>
          <w:lang w:val="sv-SE"/>
        </w:rPr>
        <w:t>, and </w:t>
      </w:r>
      <w:proofErr w:type="spellStart"/>
      <w:r w:rsidRPr="00976000">
        <w:rPr>
          <w:lang w:val="sv-SE"/>
        </w:rPr>
        <w:t>Pauliukaite</w:t>
      </w:r>
      <w:proofErr w:type="spellEnd"/>
      <w:r w:rsidR="005326B0">
        <w:rPr>
          <w:lang w:val="sv-SE"/>
        </w:rPr>
        <w:t xml:space="preserve">, </w:t>
      </w:r>
      <w:r w:rsidR="005326B0" w:rsidRPr="00976000">
        <w:rPr>
          <w:lang w:val="sv-SE"/>
        </w:rPr>
        <w:t>Rasa</w:t>
      </w:r>
      <w:r w:rsidRPr="00976000">
        <w:rPr>
          <w:lang w:val="sv-SE"/>
        </w:rPr>
        <w:t xml:space="preserve">. 2025. </w:t>
      </w:r>
      <w:r w:rsidRPr="00976000">
        <w:rPr>
          <w:lang w:val="en-GB"/>
        </w:rPr>
        <w:t>“Overcoming Challenges in Electrochemical Sensing: Toward Continuous Monitoring.” </w:t>
      </w:r>
      <w:r w:rsidRPr="00976000">
        <w:rPr>
          <w:i/>
          <w:iCs/>
          <w:lang w:val="en-GB"/>
        </w:rPr>
        <w:t>ACS Sensors</w:t>
      </w:r>
      <w:r w:rsidRPr="00976000">
        <w:rPr>
          <w:lang w:val="en-GB"/>
        </w:rPr>
        <w:t> 10 (12): 9183–202. </w:t>
      </w:r>
      <w:hyperlink r:id="rId5" w:tgtFrame="_blank" w:history="1">
        <w:r w:rsidRPr="00634CAB">
          <w:rPr>
            <w:rStyle w:val="Hyperlink"/>
            <w:lang w:val="en-GB"/>
          </w:rPr>
          <w:t>https://doi.org/10.1021/acssensors.5c02717</w:t>
        </w:r>
      </w:hyperlink>
      <w:r w:rsidRPr="00634CAB">
        <w:rPr>
          <w:lang w:val="en-GB"/>
        </w:rPr>
        <w:t>. </w:t>
      </w:r>
    </w:p>
    <w:p w14:paraId="01F9CDD8" w14:textId="77777777" w:rsidR="005326B0" w:rsidRPr="00634CAB" w:rsidRDefault="005326B0" w:rsidP="00976000">
      <w:pPr>
        <w:jc w:val="both"/>
        <w:rPr>
          <w:lang w:val="en-GB"/>
        </w:rPr>
      </w:pPr>
    </w:p>
    <w:p w14:paraId="5C6517A6" w14:textId="43D62D0F" w:rsidR="00DA72C3" w:rsidRPr="00634CAB" w:rsidRDefault="00EC4DD5" w:rsidP="00DA72C3">
      <w:pPr>
        <w:jc w:val="both"/>
        <w:rPr>
          <w:lang w:val="fi-FI"/>
        </w:rPr>
      </w:pPr>
      <w:r w:rsidRPr="00DA72C3">
        <w:rPr>
          <w:lang w:val="en-GB"/>
        </w:rPr>
        <w:t>[2]</w:t>
      </w:r>
      <w:r w:rsidR="00DA72C3" w:rsidRPr="00DA72C3">
        <w:rPr>
          <w:lang w:val="en-GB"/>
        </w:rPr>
        <w:t xml:space="preserve"> Benavidez, TE., and Garcia</w:t>
      </w:r>
      <w:r w:rsidR="00DA72C3">
        <w:rPr>
          <w:lang w:val="en-GB"/>
        </w:rPr>
        <w:t>, CD</w:t>
      </w:r>
      <w:r w:rsidR="00DA72C3" w:rsidRPr="00DA72C3">
        <w:rPr>
          <w:lang w:val="en-GB"/>
        </w:rPr>
        <w:t xml:space="preserve">. 2013. “Potential-Assisted Adsorption of Bovine Serum Albumin onto Optically Transparent Carbon Electrodes.” </w:t>
      </w:r>
      <w:proofErr w:type="spellStart"/>
      <w:r w:rsidR="00DA72C3" w:rsidRPr="00634CAB">
        <w:rPr>
          <w:i/>
          <w:iCs/>
          <w:lang w:val="fi-FI"/>
        </w:rPr>
        <w:t>Langmuir</w:t>
      </w:r>
      <w:proofErr w:type="spellEnd"/>
      <w:r w:rsidR="00DA72C3" w:rsidRPr="00634CAB">
        <w:rPr>
          <w:lang w:val="fi-FI"/>
        </w:rPr>
        <w:t xml:space="preserve"> 29 (46): 14154–62. </w:t>
      </w:r>
      <w:hyperlink r:id="rId6" w:history="1">
        <w:r w:rsidR="00DA72C3" w:rsidRPr="00634CAB">
          <w:rPr>
            <w:rStyle w:val="Hyperlink"/>
            <w:lang w:val="fi-FI"/>
          </w:rPr>
          <w:t>https://doi.org/10.1021/la4029657</w:t>
        </w:r>
      </w:hyperlink>
      <w:r w:rsidR="00DA72C3" w:rsidRPr="00634CAB">
        <w:rPr>
          <w:lang w:val="fi-FI"/>
        </w:rPr>
        <w:t>.</w:t>
      </w:r>
    </w:p>
    <w:p w14:paraId="3066FA0F" w14:textId="77777777" w:rsidR="00EC4DD5" w:rsidRDefault="00EC4DD5" w:rsidP="00976000">
      <w:pPr>
        <w:jc w:val="both"/>
        <w:rPr>
          <w:lang w:val="fi-FI"/>
        </w:rPr>
      </w:pPr>
    </w:p>
    <w:p w14:paraId="6284A6CC" w14:textId="626C63F6" w:rsidR="00976000" w:rsidRPr="00634CAB" w:rsidRDefault="00976000" w:rsidP="00E0716D">
      <w:pPr>
        <w:jc w:val="both"/>
        <w:rPr>
          <w:lang w:val="en-GB"/>
        </w:rPr>
      </w:pPr>
      <w:r w:rsidRPr="00976000">
        <w:rPr>
          <w:lang w:val="fi-FI"/>
        </w:rPr>
        <w:t>[</w:t>
      </w:r>
      <w:r w:rsidR="00306FAD">
        <w:rPr>
          <w:lang w:val="fi-FI"/>
        </w:rPr>
        <w:t>3</w:t>
      </w:r>
      <w:r w:rsidRPr="00976000">
        <w:rPr>
          <w:lang w:val="fi-FI"/>
        </w:rPr>
        <w:t>] Peltola, E</w:t>
      </w:r>
      <w:r w:rsidR="005326B0">
        <w:rPr>
          <w:lang w:val="fi-FI"/>
        </w:rPr>
        <w:t>.</w:t>
      </w:r>
      <w:r w:rsidRPr="00976000">
        <w:rPr>
          <w:lang w:val="fi-FI"/>
        </w:rPr>
        <w:t xml:space="preserve">, </w:t>
      </w:r>
      <w:proofErr w:type="spellStart"/>
      <w:r w:rsidRPr="00976000">
        <w:rPr>
          <w:lang w:val="fi-FI"/>
        </w:rPr>
        <w:t>Aarva</w:t>
      </w:r>
      <w:proofErr w:type="spellEnd"/>
      <w:r w:rsidR="005326B0">
        <w:rPr>
          <w:lang w:val="fi-FI"/>
        </w:rPr>
        <w:t xml:space="preserve"> A.</w:t>
      </w:r>
      <w:r w:rsidRPr="00976000">
        <w:rPr>
          <w:lang w:val="fi-FI"/>
        </w:rPr>
        <w:t>, Sainio</w:t>
      </w:r>
      <w:r w:rsidR="005326B0">
        <w:rPr>
          <w:lang w:val="fi-FI"/>
        </w:rPr>
        <w:t xml:space="preserve"> S.</w:t>
      </w:r>
      <w:r w:rsidRPr="00976000">
        <w:rPr>
          <w:lang w:val="fi-FI"/>
        </w:rPr>
        <w:t xml:space="preserve">, et al. </w:t>
      </w:r>
      <w:r w:rsidRPr="00976000">
        <w:rPr>
          <w:lang w:val="en-GB"/>
        </w:rPr>
        <w:t>‘Biofouling Affects the Redox Kinetics of Outer and Inner Sphere Probes on Carbon Surfaces Drastically Differently – Implications to Biosensing’. </w:t>
      </w:r>
      <w:r w:rsidRPr="00976000">
        <w:rPr>
          <w:i/>
          <w:iCs/>
          <w:lang w:val="en-GB"/>
        </w:rPr>
        <w:t>Physical Chemistry Chemical Physics</w:t>
      </w:r>
      <w:r w:rsidRPr="00976000">
        <w:rPr>
          <w:lang w:val="en-GB"/>
        </w:rPr>
        <w:t> 22, no. 29 (2020): 16630–40. </w:t>
      </w:r>
      <w:hyperlink r:id="rId7" w:tgtFrame="_blank" w:history="1">
        <w:r w:rsidRPr="00976000">
          <w:rPr>
            <w:rStyle w:val="Hyperlink"/>
            <w:lang w:val="en-GB"/>
          </w:rPr>
          <w:t>https://doi.org/10.1039/D0CP02251A</w:t>
        </w:r>
      </w:hyperlink>
      <w:r w:rsidRPr="00976000">
        <w:rPr>
          <w:lang w:val="en-GB"/>
        </w:rPr>
        <w:t>.</w:t>
      </w:r>
    </w:p>
    <w:sectPr w:rsidR="00976000" w:rsidRPr="00634CAB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25248"/>
    <w:rsid w:val="00041EFD"/>
    <w:rsid w:val="001D5300"/>
    <w:rsid w:val="00306FAD"/>
    <w:rsid w:val="00316B99"/>
    <w:rsid w:val="00325004"/>
    <w:rsid w:val="005326B0"/>
    <w:rsid w:val="00536366"/>
    <w:rsid w:val="00634CAB"/>
    <w:rsid w:val="00685C1A"/>
    <w:rsid w:val="008F3FE0"/>
    <w:rsid w:val="00976000"/>
    <w:rsid w:val="00A65A19"/>
    <w:rsid w:val="00BA6950"/>
    <w:rsid w:val="00C24EEC"/>
    <w:rsid w:val="00C25485"/>
    <w:rsid w:val="00C510CF"/>
    <w:rsid w:val="00DA387F"/>
    <w:rsid w:val="00DA72C3"/>
    <w:rsid w:val="00DD68BB"/>
    <w:rsid w:val="00E0716D"/>
    <w:rsid w:val="00EC4DD5"/>
    <w:rsid w:val="00F708EA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F3015E"/>
  <w14:defaultImageDpi w14:val="300"/>
  <w15:docId w15:val="{9D25E8E9-F5E1-4E69-81DB-77995053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0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60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26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0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48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1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9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127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5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39/D0CP02251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21/la4029657" TargetMode="External"/><Relationship Id="rId5" Type="http://schemas.openxmlformats.org/officeDocument/2006/relationships/hyperlink" Target="https://doi.org/10.1021/acssensors.5c02717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434</Words>
  <Characters>2909</Characters>
  <Application>Microsoft Office Word</Application>
  <DocSecurity>0</DocSecurity>
  <Lines>50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Naela Delmo</cp:lastModifiedBy>
  <cp:revision>12</cp:revision>
  <cp:lastPrinted>2013-10-21T12:07:00Z</cp:lastPrinted>
  <dcterms:created xsi:type="dcterms:W3CDTF">2026-05-28T11:45:00Z</dcterms:created>
  <dcterms:modified xsi:type="dcterms:W3CDTF">2026-06-01T07:56:00Z</dcterms:modified>
</cp:coreProperties>
</file>