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326F9" w14:textId="16887B0A" w:rsidR="00325004" w:rsidRPr="001E49F9" w:rsidRDefault="001E49F9" w:rsidP="00E0716D">
      <w:pPr>
        <w:jc w:val="center"/>
        <w:rPr>
          <w:b/>
          <w:sz w:val="28"/>
          <w:szCs w:val="28"/>
        </w:rPr>
      </w:pPr>
      <w:r w:rsidRPr="00EC4C38">
        <w:rPr>
          <w:b/>
          <w:bCs/>
          <w:sz w:val="28"/>
          <w:szCs w:val="28"/>
        </w:rPr>
        <w:t>Influence of Synthesis Route and Metallic Content on the Electrocatalytic Oxygen Evolution of Biomass-Derived Carbon Supported Ni-Co Catalysts via In Situ Raman Spectroscopy</w:t>
      </w:r>
      <w:r w:rsidRPr="001E49F9">
        <w:rPr>
          <w:b/>
          <w:sz w:val="28"/>
          <w:szCs w:val="28"/>
        </w:rPr>
        <w:t>.</w:t>
      </w:r>
    </w:p>
    <w:p w14:paraId="5E0AFE70" w14:textId="77777777" w:rsidR="00325004" w:rsidRPr="00A86EB9" w:rsidRDefault="00325004" w:rsidP="00E0716D">
      <w:pPr>
        <w:jc w:val="center"/>
        <w:rPr>
          <w:b/>
          <w:sz w:val="28"/>
        </w:rPr>
      </w:pPr>
    </w:p>
    <w:p w14:paraId="66D002AD" w14:textId="7AF9DD78" w:rsidR="00325004" w:rsidRDefault="001E49F9" w:rsidP="00E0716D">
      <w:pPr>
        <w:jc w:val="center"/>
      </w:pPr>
      <w:r>
        <w:rPr>
          <w:u w:val="single"/>
        </w:rPr>
        <w:t>Emmanuel Foguieng Oumbe</w:t>
      </w:r>
      <w:r w:rsidR="00265555">
        <w:rPr>
          <w:u w:val="single"/>
          <w:vertAlign w:val="superscript"/>
        </w:rPr>
        <w:t>1,2</w:t>
      </w:r>
      <w:r w:rsidR="00325004">
        <w:t xml:space="preserve">, </w:t>
      </w:r>
      <w:r>
        <w:t>Ioannis Spanos</w:t>
      </w:r>
      <w:r w:rsidR="00265555">
        <w:rPr>
          <w:vertAlign w:val="superscript"/>
        </w:rPr>
        <w:t>1</w:t>
      </w:r>
      <w:r>
        <w:t>, Roussin Lontio Fomekong</w:t>
      </w:r>
      <w:r w:rsidR="00265555">
        <w:rPr>
          <w:vertAlign w:val="superscript"/>
        </w:rPr>
        <w:t>2</w:t>
      </w:r>
      <w:r>
        <w:t>.</w:t>
      </w:r>
    </w:p>
    <w:p w14:paraId="653F6678" w14:textId="761C49AE" w:rsidR="007E3F29" w:rsidRPr="007E3F29" w:rsidRDefault="00265555" w:rsidP="007E3F29">
      <w:pPr>
        <w:jc w:val="center"/>
        <w:rPr>
          <w:i/>
        </w:rPr>
      </w:pPr>
      <w:r w:rsidRPr="00EC4C38">
        <w:rPr>
          <w:i/>
          <w:vertAlign w:val="superscript"/>
        </w:rPr>
        <w:t>1</w:t>
      </w:r>
      <w:r w:rsidRPr="00EC4C38">
        <w:rPr>
          <w:i/>
        </w:rPr>
        <w:t>Max Planck institute for Chemical Energy Conversion;</w:t>
      </w:r>
      <w:r w:rsidR="007E3F29" w:rsidRPr="007E3F29">
        <w:rPr>
          <w:i/>
        </w:rPr>
        <w:t xml:space="preserve"> </w:t>
      </w:r>
      <w:r w:rsidR="007E3F29" w:rsidRPr="007E3F29">
        <w:rPr>
          <w:i/>
        </w:rPr>
        <w:t>Mülheim an der Ruhr,</w:t>
      </w:r>
      <w:r w:rsidR="007E3F29" w:rsidRPr="007E3F29">
        <w:rPr>
          <w:i/>
        </w:rPr>
        <w:t xml:space="preserve"> 45470</w:t>
      </w:r>
      <w:r w:rsidR="007E3F29" w:rsidRPr="007E3F29">
        <w:rPr>
          <w:i/>
        </w:rPr>
        <w:t xml:space="preserve"> Germany.</w:t>
      </w:r>
    </w:p>
    <w:p w14:paraId="037525B7" w14:textId="3F8C24D8" w:rsidR="00325004" w:rsidRPr="007E3F29" w:rsidRDefault="00265555" w:rsidP="007E3F29">
      <w:pPr>
        <w:jc w:val="center"/>
        <w:rPr>
          <w:i/>
        </w:rPr>
      </w:pPr>
      <w:r w:rsidRPr="00EC4C38">
        <w:rPr>
          <w:i/>
        </w:rPr>
        <w:t xml:space="preserve"> </w:t>
      </w:r>
      <w:r w:rsidRPr="00EC4C38">
        <w:rPr>
          <w:i/>
          <w:vertAlign w:val="superscript"/>
        </w:rPr>
        <w:t>2</w:t>
      </w:r>
      <w:r w:rsidRPr="00EC4C38">
        <w:rPr>
          <w:i/>
        </w:rPr>
        <w:t>Higher Teacher Training College, University of Yaounde I</w:t>
      </w:r>
      <w:bookmarkStart w:id="0" w:name="_Hlk231153329"/>
      <w:r w:rsidR="007E3F29">
        <w:rPr>
          <w:i/>
        </w:rPr>
        <w:t>,</w:t>
      </w:r>
      <w:r w:rsidR="007E3F29" w:rsidRPr="007E3F29">
        <w:rPr>
          <w:i/>
        </w:rPr>
        <w:t xml:space="preserve"> P.O. BOX 47, Yaounde, Cameroon</w:t>
      </w:r>
      <w:r w:rsidR="007E3F29">
        <w:rPr>
          <w:i/>
        </w:rPr>
        <w:t>.</w:t>
      </w:r>
    </w:p>
    <w:bookmarkEnd w:id="0"/>
    <w:p w14:paraId="40349501" w14:textId="2B752929" w:rsidR="00685C1A" w:rsidRPr="007E3F29" w:rsidRDefault="00265555" w:rsidP="00E0716D">
      <w:pPr>
        <w:jc w:val="center"/>
        <w:rPr>
          <w:i/>
        </w:rPr>
      </w:pPr>
      <w:r w:rsidRPr="007E3F29">
        <w:rPr>
          <w:i/>
        </w:rPr>
        <w:t>emmanuel.foguieng.ext@cec.mpg.de</w:t>
      </w:r>
    </w:p>
    <w:p w14:paraId="3C4511B1" w14:textId="77777777" w:rsidR="00325004" w:rsidRPr="007E3F29" w:rsidRDefault="00325004" w:rsidP="00E0716D">
      <w:pPr>
        <w:jc w:val="center"/>
      </w:pPr>
    </w:p>
    <w:p w14:paraId="1826BD27" w14:textId="535F6E3D" w:rsidR="00FF4880" w:rsidRPr="00E31719" w:rsidRDefault="00FF4880" w:rsidP="008A3582">
      <w:pPr>
        <w:pStyle w:val="font-claude-response-body"/>
        <w:jc w:val="both"/>
        <w:rPr>
          <w:sz w:val="20"/>
          <w:szCs w:val="20"/>
        </w:rPr>
      </w:pPr>
      <w:r w:rsidRPr="00E31719">
        <w:rPr>
          <w:sz w:val="20"/>
          <w:szCs w:val="20"/>
        </w:rPr>
        <w:t xml:space="preserve">As global energy demands intensify, water electrolysis represents a promising route to sustainable hydrogen production. However, the process is kinetically limited by the Oxygen Evolution Reaction (OER), whose complex four-electron transfer mechanism generates high thermodynamic barriers and significant overpotentials </w:t>
      </w:r>
      <w:r w:rsidRPr="00E31719">
        <w:rPr>
          <w:rStyle w:val="Strong"/>
          <w:sz w:val="20"/>
          <w:szCs w:val="20"/>
        </w:rPr>
        <w:t>[1]</w:t>
      </w:r>
      <w:r w:rsidRPr="00E31719">
        <w:rPr>
          <w:sz w:val="20"/>
          <w:szCs w:val="20"/>
        </w:rPr>
        <w:t>. Developing earth-abundant, durable, and cost-effective electrocatalysts capable of sustaining high anodic potentials while minimizing energy losses is therefore a critical challenge.</w:t>
      </w:r>
    </w:p>
    <w:p w14:paraId="21332F8D" w14:textId="77777777" w:rsidR="00FF4880" w:rsidRPr="00E31719" w:rsidRDefault="00FF4880" w:rsidP="008A3582">
      <w:pPr>
        <w:pStyle w:val="font-claude-response-body"/>
        <w:jc w:val="both"/>
        <w:rPr>
          <w:sz w:val="20"/>
          <w:szCs w:val="20"/>
        </w:rPr>
      </w:pPr>
      <w:r w:rsidRPr="00E31719">
        <w:rPr>
          <w:sz w:val="20"/>
          <w:szCs w:val="20"/>
        </w:rPr>
        <w:t xml:space="preserve">Transition metal oxides have emerged as competitive alternatives to noble-metal catalysts, owing to their natural abundance and tunable electronic structure. Among them, nickel-cobalt bimetallic systems are particularly attractive for alkaline OER, combining exceptional catalytic efficiency, structural versatility, and scalable synthesis </w:t>
      </w:r>
      <w:r w:rsidRPr="00E31719">
        <w:rPr>
          <w:rStyle w:val="Strong"/>
          <w:sz w:val="20"/>
          <w:szCs w:val="20"/>
        </w:rPr>
        <w:t>[2]</w:t>
      </w:r>
      <w:r w:rsidRPr="00E31719">
        <w:rPr>
          <w:sz w:val="20"/>
          <w:szCs w:val="20"/>
        </w:rPr>
        <w:t xml:space="preserve">. Biomass-derived carbons further complement these systems as electrode supports, offering environmental compatibility, hierarchical porosity, and inherent structural stability </w:t>
      </w:r>
      <w:r w:rsidRPr="00E31719">
        <w:rPr>
          <w:rStyle w:val="Strong"/>
          <w:sz w:val="20"/>
          <w:szCs w:val="20"/>
        </w:rPr>
        <w:t>[3]</w:t>
      </w:r>
      <w:r w:rsidRPr="00E31719">
        <w:rPr>
          <w:sz w:val="20"/>
          <w:szCs w:val="20"/>
        </w:rPr>
        <w:t>.</w:t>
      </w:r>
    </w:p>
    <w:p w14:paraId="45D5A26C" w14:textId="6D197061" w:rsidR="00FF4880" w:rsidRPr="00E31719" w:rsidRDefault="00FF4880" w:rsidP="008A3582">
      <w:pPr>
        <w:pStyle w:val="font-claude-response-body"/>
        <w:jc w:val="both"/>
        <w:rPr>
          <w:sz w:val="20"/>
          <w:szCs w:val="20"/>
        </w:rPr>
      </w:pPr>
      <w:r w:rsidRPr="00E31719">
        <w:rPr>
          <w:sz w:val="20"/>
          <w:szCs w:val="20"/>
        </w:rPr>
        <w:t>Despite growing interest in NiCo species supported on carbonaceous matrices, systematic investigations into the influence of metallic composition and synthesis parameters on catalyst architecture remain scarce. This work addresses this gap through a comprehensive study of biomass-derived NiCo/C catalysts, synthesizing materials via hydrothermal pretreatment combined with calcination in metal-containing solutions, and characterizing them</w:t>
      </w:r>
      <w:r w:rsidR="008A3582" w:rsidRPr="00E31719">
        <w:rPr>
          <w:sz w:val="20"/>
          <w:szCs w:val="20"/>
        </w:rPr>
        <w:t xml:space="preserve">, </w:t>
      </w:r>
      <w:r w:rsidRPr="00E31719">
        <w:rPr>
          <w:sz w:val="20"/>
          <w:szCs w:val="20"/>
        </w:rPr>
        <w:t>by BET, SEM-EDX, XRD, XPS, and operando Raman spectroscopy.</w:t>
      </w:r>
    </w:p>
    <w:p w14:paraId="2999CA1B" w14:textId="2B1505EB" w:rsidR="008A3582" w:rsidRPr="00E31719" w:rsidRDefault="008A3582" w:rsidP="008A3582">
      <w:pPr>
        <w:pStyle w:val="font-claude-response-body"/>
        <w:jc w:val="both"/>
        <w:rPr>
          <w:sz w:val="20"/>
          <w:szCs w:val="20"/>
        </w:rPr>
      </w:pPr>
      <w:r w:rsidRPr="00E31719">
        <w:rPr>
          <w:sz w:val="20"/>
          <w:szCs w:val="20"/>
        </w:rPr>
        <w:t>Results demonstrate that hydrothermal treatment yields a higher carbon content and promotes the incorporation of metallic sites within a hierarchical granular structure, directly enhancing catalytic activity relative to direct calcination. Operando Raman spectroscopy reveals that the precatalyst structure varies markedly across samples from amorphous oxyhydroxide and crystalline hydroxide phases to spinel-type oxides of differing crystallinity</w:t>
      </w:r>
      <w:r w:rsidR="00201D72" w:rsidRPr="00E31719">
        <w:rPr>
          <w:sz w:val="20"/>
          <w:szCs w:val="20"/>
        </w:rPr>
        <w:t xml:space="preserve"> </w:t>
      </w:r>
      <w:r w:rsidRPr="00E31719">
        <w:rPr>
          <w:sz w:val="20"/>
          <w:szCs w:val="20"/>
        </w:rPr>
        <w:t>depending on the biomass treatment conditions. Under anodic polarization, all catalysts undergo potential-driven surface reconstruction toward a bimetallic NiCoOOH active phase, evidenced by the emergence of the γ-NiOOH doublet at 460 and 550 cm⁻¹ and the CoOOH A₁g mode at 600 cm⁻¹, with onset potentials spanning 1.1 to 1.4 V vs. RHE. These findings establish a direct link between biomass treatment conditions, precatalyst structure, and OER reconstruction kinetics, offering rational design principles for next-generation biomass-derived electrocatalysts for sustainable hydrogen production.</w:t>
      </w:r>
    </w:p>
    <w:p w14:paraId="21FB2EC1" w14:textId="77777777" w:rsidR="00FF4880" w:rsidRPr="00E31719" w:rsidRDefault="00FF4880" w:rsidP="00FF4880">
      <w:pPr>
        <w:pStyle w:val="font-claude-response-body"/>
      </w:pPr>
    </w:p>
    <w:p w14:paraId="6FE0835B" w14:textId="77777777" w:rsidR="00201D72" w:rsidRPr="00E31719" w:rsidRDefault="00201D72" w:rsidP="00FF4880">
      <w:pPr>
        <w:pStyle w:val="font-claude-response-body"/>
      </w:pPr>
    </w:p>
    <w:p w14:paraId="3BDBBB31" w14:textId="43B3F868" w:rsidR="00E0716D" w:rsidRPr="00E31719" w:rsidRDefault="00E0716D" w:rsidP="00FF4880">
      <w:pPr>
        <w:widowControl/>
        <w:jc w:val="both"/>
      </w:pPr>
    </w:p>
    <w:p w14:paraId="5A508932" w14:textId="17F27AAC" w:rsidR="00E0716D" w:rsidRPr="00E31719" w:rsidRDefault="008A3582" w:rsidP="00E0716D">
      <w:pPr>
        <w:jc w:val="both"/>
      </w:pPr>
      <w:r w:rsidRPr="00E31719">
        <w:rPr>
          <w:rStyle w:val="Strong"/>
        </w:rPr>
        <w:t>[1]</w:t>
      </w:r>
      <w:r w:rsidRPr="00E31719">
        <w:t xml:space="preserve"> Yu, Z.-Y. et al. </w:t>
      </w:r>
      <w:r w:rsidRPr="00E31719">
        <w:rPr>
          <w:rStyle w:val="Emphasis"/>
        </w:rPr>
        <w:t>Principles of Water Electrolysis and Recent Progress in Cobalt-, Nickel-, and Iron-Based Oxides for the Oxygen Evolution Reaction.</w:t>
      </w:r>
      <w:r w:rsidRPr="00E31719">
        <w:t xml:space="preserve"> </w:t>
      </w:r>
      <w:r w:rsidRPr="00E31719">
        <w:rPr>
          <w:rStyle w:val="Strong"/>
          <w:b w:val="0"/>
          <w:bCs w:val="0"/>
        </w:rPr>
        <w:t>Angewandte Chemie International Edition</w:t>
      </w:r>
      <w:r w:rsidRPr="00E31719">
        <w:t>, 2022, 61, 202103824.</w:t>
      </w:r>
    </w:p>
    <w:p w14:paraId="6ED5E389" w14:textId="37B14FB4" w:rsidR="00201D72" w:rsidRPr="00E31719" w:rsidRDefault="00201D72" w:rsidP="00E0716D">
      <w:pPr>
        <w:jc w:val="both"/>
      </w:pPr>
      <w:r w:rsidRPr="00E31719">
        <w:rPr>
          <w:rStyle w:val="Strong"/>
        </w:rPr>
        <w:t>[2]</w:t>
      </w:r>
      <w:r w:rsidRPr="00E31719">
        <w:t xml:space="preserve"> Tahira, A. et al. </w:t>
      </w:r>
      <w:r w:rsidRPr="00E31719">
        <w:rPr>
          <w:rStyle w:val="Emphasis"/>
        </w:rPr>
        <w:t>Recent progress on bimetallic NiCo and CoFe based electrocatalysts for alkaline oxygen evolution reaction: A review.</w:t>
      </w:r>
      <w:r w:rsidRPr="00E31719">
        <w:t xml:space="preserve"> </w:t>
      </w:r>
      <w:r w:rsidRPr="00E31719">
        <w:rPr>
          <w:rStyle w:val="Strong"/>
          <w:b w:val="0"/>
          <w:bCs w:val="0"/>
        </w:rPr>
        <w:t>Journal of Energy Chemistry</w:t>
      </w:r>
      <w:r w:rsidRPr="00E31719">
        <w:t>, 2022, 67, 498–521.</w:t>
      </w:r>
    </w:p>
    <w:p w14:paraId="14BFC76F" w14:textId="6EDE59F4" w:rsidR="00201D72" w:rsidRPr="00E31719" w:rsidRDefault="00201D72" w:rsidP="00E0716D">
      <w:pPr>
        <w:jc w:val="both"/>
      </w:pPr>
      <w:r w:rsidRPr="00E31719">
        <w:rPr>
          <w:rStyle w:val="Strong"/>
        </w:rPr>
        <w:t>[3]</w:t>
      </w:r>
      <w:r w:rsidRPr="00E31719">
        <w:t xml:space="preserve"> Maliutina, K. et al. </w:t>
      </w:r>
      <w:r w:rsidRPr="00E31719">
        <w:rPr>
          <w:rStyle w:val="Emphasis"/>
        </w:rPr>
        <w:t>Biomass-derived carbon nanostructures and their applications as electrocatalysts for hydrogen evolution and oxygen reduction/evolution.</w:t>
      </w:r>
      <w:r w:rsidRPr="00E31719">
        <w:t xml:space="preserve"> </w:t>
      </w:r>
      <w:r w:rsidRPr="00E31719">
        <w:rPr>
          <w:rStyle w:val="Strong"/>
          <w:b w:val="0"/>
          <w:bCs w:val="0"/>
        </w:rPr>
        <w:t>Frontiers in Environmental Engineering</w:t>
      </w:r>
      <w:r w:rsidRPr="00E31719">
        <w:rPr>
          <w:b/>
          <w:bCs/>
        </w:rPr>
        <w:t>,</w:t>
      </w:r>
      <w:r w:rsidRPr="00E31719">
        <w:t xml:space="preserve"> 2023.</w:t>
      </w:r>
    </w:p>
    <w:sectPr w:rsidR="00201D72" w:rsidRPr="00E31719" w:rsidSect="00F97641">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CAC50" w14:textId="77777777" w:rsidR="002832FD" w:rsidRDefault="002832FD" w:rsidP="002832FD">
      <w:r>
        <w:separator/>
      </w:r>
    </w:p>
  </w:endnote>
  <w:endnote w:type="continuationSeparator" w:id="0">
    <w:p w14:paraId="66894205" w14:textId="77777777" w:rsidR="002832FD" w:rsidRDefault="002832FD" w:rsidP="00283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93385" w14:textId="77777777" w:rsidR="002832FD" w:rsidRDefault="002832FD" w:rsidP="002832FD">
      <w:r>
        <w:separator/>
      </w:r>
    </w:p>
  </w:footnote>
  <w:footnote w:type="continuationSeparator" w:id="0">
    <w:p w14:paraId="0B0ED536" w14:textId="77777777" w:rsidR="002832FD" w:rsidRDefault="002832FD" w:rsidP="002832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F4B27"/>
    <w:rsid w:val="00124212"/>
    <w:rsid w:val="001E49F9"/>
    <w:rsid w:val="00201D72"/>
    <w:rsid w:val="00216B92"/>
    <w:rsid w:val="0025077B"/>
    <w:rsid w:val="00265555"/>
    <w:rsid w:val="002832FD"/>
    <w:rsid w:val="00325004"/>
    <w:rsid w:val="00394C35"/>
    <w:rsid w:val="00536366"/>
    <w:rsid w:val="00685C1A"/>
    <w:rsid w:val="00691115"/>
    <w:rsid w:val="007E3F29"/>
    <w:rsid w:val="00801D0E"/>
    <w:rsid w:val="00890D50"/>
    <w:rsid w:val="008A3582"/>
    <w:rsid w:val="00A85FDC"/>
    <w:rsid w:val="00B4584E"/>
    <w:rsid w:val="00C37D13"/>
    <w:rsid w:val="00D8592B"/>
    <w:rsid w:val="00E0716D"/>
    <w:rsid w:val="00E31719"/>
    <w:rsid w:val="00EC4C38"/>
    <w:rsid w:val="00F2287C"/>
    <w:rsid w:val="00F97641"/>
    <w:rsid w:val="00FF48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272815"/>
  <w14:defaultImageDpi w14:val="300"/>
  <w15:docId w15:val="{C9A80A6C-D6B7-4FF1-9989-EBD9D623D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90D50"/>
    <w:pPr>
      <w:widowControl/>
      <w:spacing w:before="100" w:beforeAutospacing="1" w:after="100" w:afterAutospacing="1"/>
    </w:pPr>
    <w:rPr>
      <w:snapToGrid/>
      <w:sz w:val="24"/>
      <w:szCs w:val="24"/>
    </w:rPr>
  </w:style>
  <w:style w:type="character" w:customStyle="1" w:styleId="rynqvb">
    <w:name w:val="rynqvb"/>
    <w:basedOn w:val="DefaultParagraphFont"/>
    <w:rsid w:val="00890D50"/>
  </w:style>
  <w:style w:type="character" w:customStyle="1" w:styleId="hwtze">
    <w:name w:val="hwtze"/>
    <w:basedOn w:val="DefaultParagraphFont"/>
    <w:rsid w:val="00D8592B"/>
  </w:style>
  <w:style w:type="paragraph" w:styleId="Header">
    <w:name w:val="header"/>
    <w:basedOn w:val="Normal"/>
    <w:link w:val="HeaderChar"/>
    <w:uiPriority w:val="99"/>
    <w:unhideWhenUsed/>
    <w:rsid w:val="002832FD"/>
    <w:pPr>
      <w:tabs>
        <w:tab w:val="center" w:pos="4703"/>
        <w:tab w:val="right" w:pos="9406"/>
      </w:tabs>
    </w:pPr>
  </w:style>
  <w:style w:type="character" w:customStyle="1" w:styleId="HeaderChar">
    <w:name w:val="Header Char"/>
    <w:basedOn w:val="DefaultParagraphFont"/>
    <w:link w:val="Header"/>
    <w:uiPriority w:val="99"/>
    <w:rsid w:val="002832FD"/>
    <w:rPr>
      <w:snapToGrid w:val="0"/>
    </w:rPr>
  </w:style>
  <w:style w:type="paragraph" w:styleId="Footer">
    <w:name w:val="footer"/>
    <w:basedOn w:val="Normal"/>
    <w:link w:val="FooterChar"/>
    <w:uiPriority w:val="99"/>
    <w:unhideWhenUsed/>
    <w:rsid w:val="002832FD"/>
    <w:pPr>
      <w:tabs>
        <w:tab w:val="center" w:pos="4703"/>
        <w:tab w:val="right" w:pos="9406"/>
      </w:tabs>
    </w:pPr>
  </w:style>
  <w:style w:type="character" w:customStyle="1" w:styleId="FooterChar">
    <w:name w:val="Footer Char"/>
    <w:basedOn w:val="DefaultParagraphFont"/>
    <w:link w:val="Footer"/>
    <w:uiPriority w:val="99"/>
    <w:rsid w:val="002832FD"/>
    <w:rPr>
      <w:snapToGrid w:val="0"/>
    </w:rPr>
  </w:style>
  <w:style w:type="paragraph" w:customStyle="1" w:styleId="font-claude-response-body">
    <w:name w:val="font-claude-response-body"/>
    <w:basedOn w:val="Normal"/>
    <w:rsid w:val="00FF4880"/>
    <w:pPr>
      <w:widowControl/>
      <w:spacing w:before="100" w:beforeAutospacing="1" w:after="100" w:afterAutospacing="1"/>
    </w:pPr>
    <w:rPr>
      <w:snapToGrid/>
      <w:sz w:val="24"/>
      <w:szCs w:val="24"/>
    </w:rPr>
  </w:style>
  <w:style w:type="character" w:styleId="Strong">
    <w:name w:val="Strong"/>
    <w:basedOn w:val="DefaultParagraphFont"/>
    <w:uiPriority w:val="22"/>
    <w:qFormat/>
    <w:rsid w:val="00FF4880"/>
    <w:rPr>
      <w:b/>
      <w:bCs/>
    </w:rPr>
  </w:style>
  <w:style w:type="character" w:styleId="Emphasis">
    <w:name w:val="Emphasis"/>
    <w:basedOn w:val="DefaultParagraphFont"/>
    <w:uiPriority w:val="20"/>
    <w:qFormat/>
    <w:rsid w:val="008A3582"/>
    <w:rPr>
      <w:i/>
      <w:iCs/>
    </w:rPr>
  </w:style>
  <w:style w:type="character" w:styleId="Hyperlink">
    <w:name w:val="Hyperlink"/>
    <w:basedOn w:val="DefaultParagraphFont"/>
    <w:uiPriority w:val="99"/>
    <w:semiHidden/>
    <w:unhideWhenUsed/>
    <w:rsid w:val="008A35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516208">
      <w:bodyDiv w:val="1"/>
      <w:marLeft w:val="0"/>
      <w:marRight w:val="0"/>
      <w:marTop w:val="0"/>
      <w:marBottom w:val="0"/>
      <w:divBdr>
        <w:top w:val="none" w:sz="0" w:space="0" w:color="auto"/>
        <w:left w:val="none" w:sz="0" w:space="0" w:color="auto"/>
        <w:bottom w:val="none" w:sz="0" w:space="0" w:color="auto"/>
        <w:right w:val="none" w:sz="0" w:space="0" w:color="auto"/>
      </w:divBdr>
      <w:divsChild>
        <w:div w:id="98256519">
          <w:marLeft w:val="0"/>
          <w:marRight w:val="0"/>
          <w:marTop w:val="0"/>
          <w:marBottom w:val="0"/>
          <w:divBdr>
            <w:top w:val="none" w:sz="0" w:space="0" w:color="auto"/>
            <w:left w:val="none" w:sz="0" w:space="0" w:color="auto"/>
            <w:bottom w:val="none" w:sz="0" w:space="0" w:color="auto"/>
            <w:right w:val="none" w:sz="0" w:space="0" w:color="auto"/>
          </w:divBdr>
        </w:div>
      </w:divsChild>
    </w:div>
    <w:div w:id="10890416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459</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Emmanuel Prince Foguieng Oumbe</cp:lastModifiedBy>
  <cp:revision>8</cp:revision>
  <cp:lastPrinted>2013-10-21T12:07:00Z</cp:lastPrinted>
  <dcterms:created xsi:type="dcterms:W3CDTF">2026-05-31T12:11:00Z</dcterms:created>
  <dcterms:modified xsi:type="dcterms:W3CDTF">2026-05-31T19:41:00Z</dcterms:modified>
</cp:coreProperties>
</file>