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4997C" w14:textId="5BB658C0" w:rsidR="00325004" w:rsidRPr="00A86EB9" w:rsidRDefault="000D1D86" w:rsidP="00E0716D">
      <w:pPr>
        <w:jc w:val="center"/>
        <w:rPr>
          <w:b/>
          <w:sz w:val="28"/>
        </w:rPr>
      </w:pPr>
      <w:r>
        <w:rPr>
          <w:b/>
          <w:sz w:val="28"/>
        </w:rPr>
        <w:t>Electrooxidation of C3 Alcohols on Nickel in Alkaline Electrolyte</w:t>
      </w:r>
      <w:r w:rsidR="00611E1F">
        <w:rPr>
          <w:b/>
          <w:sz w:val="28"/>
        </w:rPr>
        <w:t>s</w:t>
      </w:r>
      <w:r>
        <w:rPr>
          <w:b/>
          <w:sz w:val="28"/>
        </w:rPr>
        <w:t xml:space="preserve">: Insights from </w:t>
      </w:r>
      <w:r w:rsidRPr="000D1D86">
        <w:rPr>
          <w:b/>
          <w:i/>
          <w:iCs/>
          <w:sz w:val="28"/>
        </w:rPr>
        <w:t xml:space="preserve">operando </w:t>
      </w:r>
      <w:r>
        <w:rPr>
          <w:b/>
          <w:sz w:val="28"/>
        </w:rPr>
        <w:t>Raman</w:t>
      </w:r>
      <w:r w:rsidR="0036236E">
        <w:rPr>
          <w:b/>
          <w:sz w:val="28"/>
        </w:rPr>
        <w:t xml:space="preserve"> spectroscopy</w:t>
      </w:r>
      <w:r>
        <w:rPr>
          <w:b/>
          <w:sz w:val="28"/>
        </w:rPr>
        <w:t>.</w:t>
      </w:r>
    </w:p>
    <w:p w14:paraId="3D91283A" w14:textId="77777777" w:rsidR="00325004" w:rsidRPr="00A86EB9" w:rsidRDefault="00325004" w:rsidP="00E0716D">
      <w:pPr>
        <w:jc w:val="center"/>
        <w:rPr>
          <w:b/>
          <w:sz w:val="28"/>
        </w:rPr>
      </w:pPr>
    </w:p>
    <w:p w14:paraId="04C10E6B" w14:textId="55BB7A4B" w:rsidR="00325004" w:rsidRDefault="000D1D86" w:rsidP="00E0716D">
      <w:pPr>
        <w:jc w:val="center"/>
      </w:pPr>
      <w:r>
        <w:rPr>
          <w:u w:val="single"/>
        </w:rPr>
        <w:t>F.J.A van Lieshout</w:t>
      </w:r>
      <w:r w:rsidR="00325004">
        <w:t xml:space="preserve">, </w:t>
      </w:r>
      <w:r>
        <w:t>Dulce M. Morales</w:t>
      </w:r>
    </w:p>
    <w:p w14:paraId="48575929" w14:textId="77777777" w:rsidR="000D1D86" w:rsidRPr="000D1D86" w:rsidRDefault="000D1D86" w:rsidP="000D1D86">
      <w:pPr>
        <w:jc w:val="center"/>
        <w:rPr>
          <w:i/>
        </w:rPr>
      </w:pPr>
      <w:r w:rsidRPr="000D1D86">
        <w:rPr>
          <w:i/>
        </w:rPr>
        <w:t>Engineering and Technology Institute Groningen (ENTEG)</w:t>
      </w:r>
    </w:p>
    <w:p w14:paraId="5A045FDF" w14:textId="77777777" w:rsidR="000D1D86" w:rsidRPr="000D1D86" w:rsidRDefault="000D1D86" w:rsidP="000D1D86">
      <w:pPr>
        <w:jc w:val="center"/>
        <w:rPr>
          <w:i/>
        </w:rPr>
      </w:pPr>
      <w:r w:rsidRPr="000D1D86">
        <w:rPr>
          <w:i/>
        </w:rPr>
        <w:t>University of Groningen</w:t>
      </w:r>
    </w:p>
    <w:p w14:paraId="6CB89960" w14:textId="45A04AC9" w:rsidR="00325004" w:rsidRDefault="000D1D86" w:rsidP="000D1D86">
      <w:pPr>
        <w:jc w:val="center"/>
      </w:pPr>
      <w:proofErr w:type="spellStart"/>
      <w:r w:rsidRPr="000D1D86">
        <w:rPr>
          <w:i/>
        </w:rPr>
        <w:t>Nijenborgh</w:t>
      </w:r>
      <w:proofErr w:type="spellEnd"/>
      <w:r w:rsidRPr="000D1D86">
        <w:rPr>
          <w:i/>
        </w:rPr>
        <w:t xml:space="preserve"> 3, Groningen 9747AG, the Netherlands</w:t>
      </w:r>
    </w:p>
    <w:p w14:paraId="4C80E3BA" w14:textId="6CCAD101" w:rsidR="00325004" w:rsidRDefault="00F1043B" w:rsidP="00E0716D">
      <w:pPr>
        <w:jc w:val="center"/>
        <w:rPr>
          <w:i/>
        </w:rPr>
      </w:pPr>
      <w:hyperlink r:id="rId5" w:history="1">
        <w:r w:rsidR="000D1D86" w:rsidRPr="00250D7F">
          <w:rPr>
            <w:rStyle w:val="Hyperlink"/>
            <w:i/>
          </w:rPr>
          <w:t>f.j.a.van.lieshout@rug.nl</w:t>
        </w:r>
      </w:hyperlink>
    </w:p>
    <w:p w14:paraId="211B3C90" w14:textId="77777777" w:rsidR="000D1D86" w:rsidRDefault="000D1D86" w:rsidP="00E0716D">
      <w:pPr>
        <w:jc w:val="center"/>
      </w:pPr>
    </w:p>
    <w:p w14:paraId="116EEAA6" w14:textId="77777777" w:rsidR="00874E84" w:rsidRDefault="00874E84" w:rsidP="00927D37">
      <w:pPr>
        <w:jc w:val="both"/>
      </w:pPr>
    </w:p>
    <w:p w14:paraId="16768818" w14:textId="6F811C32" w:rsidR="00DB206A" w:rsidRDefault="000F62C4" w:rsidP="00E0716D">
      <w:pPr>
        <w:jc w:val="both"/>
      </w:pPr>
      <w:r>
        <w:t>Electrochemical oxidation of biomass</w:t>
      </w:r>
      <w:r w:rsidR="001858FA">
        <w:t>-</w:t>
      </w:r>
      <w:r w:rsidR="006E7190">
        <w:t>derived alcohols</w:t>
      </w:r>
      <w:r w:rsidR="00B67659">
        <w:t xml:space="preserve"> </w:t>
      </w:r>
      <w:r>
        <w:t>on low cost</w:t>
      </w:r>
      <w:r w:rsidR="001858FA">
        <w:t>,</w:t>
      </w:r>
      <w:r>
        <w:t xml:space="preserve"> </w:t>
      </w:r>
      <w:r w:rsidR="006E7190">
        <w:t>earth-</w:t>
      </w:r>
      <w:r>
        <w:t xml:space="preserve">abundant metals such as nickel </w:t>
      </w:r>
      <w:r w:rsidR="006E7190">
        <w:t xml:space="preserve">is </w:t>
      </w:r>
      <w:r>
        <w:t xml:space="preserve">of significant interest </w:t>
      </w:r>
      <w:r w:rsidR="007F45BF">
        <w:t xml:space="preserve">in the field of hybrid water electrolysis, in which </w:t>
      </w:r>
      <w:r>
        <w:t>anodic</w:t>
      </w:r>
      <w:r w:rsidR="002D4799">
        <w:t xml:space="preserve"> </w:t>
      </w:r>
      <w:r>
        <w:t>valorization</w:t>
      </w:r>
      <w:r w:rsidR="008712B1">
        <w:t xml:space="preserve"> of organic compounds</w:t>
      </w:r>
      <w:r>
        <w:t xml:space="preserve"> and </w:t>
      </w:r>
      <w:r w:rsidR="002D4799">
        <w:t xml:space="preserve">cathodic </w:t>
      </w:r>
      <w:r>
        <w:t>hydrogen production</w:t>
      </w:r>
      <w:r w:rsidR="002D4799">
        <w:t xml:space="preserve"> occur concomitantl</w:t>
      </w:r>
      <w:r w:rsidR="00F34A59">
        <w:t>y with</w:t>
      </w:r>
      <w:r>
        <w:t xml:space="preserve"> reduced energy cost</w:t>
      </w:r>
      <w:r w:rsidR="008712B1">
        <w:t>s</w:t>
      </w:r>
      <w:r>
        <w:t xml:space="preserve"> compared to</w:t>
      </w:r>
      <w:r w:rsidR="006E7190">
        <w:t xml:space="preserve"> conventional</w:t>
      </w:r>
      <w:r>
        <w:t xml:space="preserve"> alkaline water electrolysis</w:t>
      </w:r>
      <w:r w:rsidR="00874E84">
        <w:t>.</w:t>
      </w:r>
      <w:r w:rsidR="00874E84">
        <w:fldChar w:fldCharType="begin"/>
      </w:r>
      <w:r w:rsidR="00874E84">
        <w:instrText xml:space="preserve"> ADDIN ZOTERO_ITEM CSL_CITATION {"citationID":"Fcv4I7qG","properties":{"formattedCitation":"\\super [1]\\nosupersub{}","plainCitation":"[1]","noteIndex":0},"citationItems":[{"id":1124,"uris":["http://zotero.org/users/13656612/items/EL8XZSHP"],"itemData":{"id":1124,"type":"article-journal","container-title":"Green Chemistry","DOI":"10.1039/D5GC05294G","issue":"7","language":"en","page":"3043-3072","publisher":"Royal Society of Chemistry","source":"pubs.rsc.org","title":"Hybrid water electrolysis toward energy-efficient hydrogen production coupled with value-added chemical synthesis","volume":"28","author":[{"family":"Wu","given":"Yilin"},{"family":"Chen","given":"Pengzuo"}],"issued":{"date-parts":[["2026"]]}}}],"schema":"https://github.com/citation-style-language/schema/raw/master/csl-citation.json"} </w:instrText>
      </w:r>
      <w:r w:rsidR="00874E84">
        <w:fldChar w:fldCharType="separate"/>
      </w:r>
      <w:r w:rsidR="00874E84" w:rsidRPr="00874E84">
        <w:rPr>
          <w:szCs w:val="24"/>
          <w:vertAlign w:val="superscript"/>
        </w:rPr>
        <w:t>[1]</w:t>
      </w:r>
      <w:r w:rsidR="00874E84">
        <w:fldChar w:fldCharType="end"/>
      </w:r>
      <w:r w:rsidR="00874E84">
        <w:t xml:space="preserve"> </w:t>
      </w:r>
      <w:r>
        <w:t xml:space="preserve">Glycerol has </w:t>
      </w:r>
      <w:r w:rsidR="006E7190">
        <w:t xml:space="preserve">emerged </w:t>
      </w:r>
      <w:r>
        <w:t>as a suitable biomass</w:t>
      </w:r>
      <w:r w:rsidR="00F07DA7">
        <w:t>-derived</w:t>
      </w:r>
      <w:r w:rsidR="006E7190">
        <w:t xml:space="preserve"> feedstock</w:t>
      </w:r>
      <w:r>
        <w:t xml:space="preserve"> due to its low economic </w:t>
      </w:r>
      <w:r w:rsidR="006E7190">
        <w:t>value</w:t>
      </w:r>
      <w:r>
        <w:t xml:space="preserve"> and high abundance </w:t>
      </w:r>
      <w:r w:rsidR="006E7190">
        <w:t xml:space="preserve">as a </w:t>
      </w:r>
      <w:r>
        <w:t>byproduct of biodiesel production.</w:t>
      </w:r>
      <w:r w:rsidR="00874E84">
        <w:t xml:space="preserve"> </w:t>
      </w:r>
      <w:r w:rsidR="00A34E14">
        <w:t xml:space="preserve">However, the dynamic </w:t>
      </w:r>
      <w:r w:rsidR="006E7190">
        <w:t xml:space="preserve">interplay </w:t>
      </w:r>
      <w:r w:rsidR="00A34E14">
        <w:t xml:space="preserve">between substrate adsorption and the formation of the </w:t>
      </w:r>
      <w:r w:rsidR="006E7190">
        <w:t>active phase</w:t>
      </w:r>
      <w:r w:rsidR="00A34E14">
        <w:t xml:space="preserve">, </w:t>
      </w:r>
      <w:proofErr w:type="spellStart"/>
      <w:r w:rsidR="00A34E14">
        <w:t>NiOOH</w:t>
      </w:r>
      <w:proofErr w:type="spellEnd"/>
      <w:r w:rsidR="00A34E14">
        <w:t>, during</w:t>
      </w:r>
      <w:r w:rsidR="0032655B">
        <w:t xml:space="preserve"> the reaction</w:t>
      </w:r>
      <w:r w:rsidR="00A34E14">
        <w:t xml:space="preserve"> remains an open</w:t>
      </w:r>
      <w:r w:rsidR="006E7190">
        <w:t xml:space="preserve"> </w:t>
      </w:r>
      <w:r w:rsidR="00A34E14">
        <w:t>question.</w:t>
      </w:r>
      <w:r w:rsidR="00314C43">
        <w:t xml:space="preserve"> </w:t>
      </w:r>
      <w:r w:rsidR="006E7190">
        <w:t>Furthermore, transition metal catalysts often suffer from a trade-off between catalytic activity and selectivity</w:t>
      </w:r>
      <w:r w:rsidR="00874E84">
        <w:t>.</w:t>
      </w:r>
      <w:r w:rsidR="00874E84">
        <w:fldChar w:fldCharType="begin"/>
      </w:r>
      <w:r w:rsidR="00874E84">
        <w:instrText xml:space="preserve"> ADDIN ZOTERO_ITEM CSL_CITATION {"citationID":"DFrZivlN","properties":{"formattedCitation":"\\super [2]\\nosupersub{}","plainCitation":"[2]","noteIndex":0},"citationItems":[{"id":620,"uris":["http://zotero.org/users/13656612/items/W6WH633S"],"itemData":{"id":620,"type":"article-journal","abstract":"Affordable and abundant sources of green hydrogen can give a large impetus to the Energy Transition. While conventional water electrolysis has positioned itself as a prospective candidate for this purpose, it lacks cost competitiveness. Hybrid water electrolysis (HWE) has been praised for its ability to address the issues of conventional water electrolysis due to its decreased energy requirements and its ability to generate value-added products, among other advantages. In this perspective, we discuss the challenges related to the applicability of HWE, using the glycerol oxidation reaction as an example, and we identify pitfalls often found in the literature. Reported catalysts, especially those based on abundant materials, suffer from a severe selectivity-activity tradeoff, hampering their industrial applicability due to large costs associated with product separation and purification. Additionally, testing electrocatalysts under conditions that are relevant for their applications is encouraged, yet these conditions are largely unknown, as in-depth knowledge of the catalytic mechanisms is largely missing. Lastly, an opportunity to increase the amount of interdisciplinary research concerning both the engineering requirements and financial performance of HWE is discussed. Increased focus on these objectives may boost the development of HWE on an industrial scale.","container-title":"ChemPlusChem","DOI":"10.1002/cplu.202400182","ISSN":"2192-6506","issue":"2192-6506","language":"en","license":"© 2024 The Authors. ChemPlusChem published by Wiley-VCH GmbH","note":"_eprint: https://onlinelibrary.wiley.com/doi/pdf/10.1002/cplu.202400182","page":"e202400182","source":"Wiley Online Library","title":"Anodic Reactions in Alkaline Hybrid Water Electrolyzers: Activity versus Selectivity","title-short":"Anodic Reactions in Alkaline Hybrid Water Electrolyzers","volume":"89","author":[{"family":"Lieshout","given":"Floris","non-dropping-particle":"van"},{"family":"Morales","given":"Dulce M."}],"issued":{"date-parts":[["2024"]]}}}],"schema":"https://github.com/citation-style-language/schema/raw/master/csl-citation.json"} </w:instrText>
      </w:r>
      <w:r w:rsidR="00874E84">
        <w:fldChar w:fldCharType="separate"/>
      </w:r>
      <w:r w:rsidR="00874E84" w:rsidRPr="00874E84">
        <w:rPr>
          <w:szCs w:val="24"/>
          <w:vertAlign w:val="superscript"/>
        </w:rPr>
        <w:t>[2]</w:t>
      </w:r>
      <w:r w:rsidR="00874E84">
        <w:fldChar w:fldCharType="end"/>
      </w:r>
      <w:r w:rsidR="00314C43">
        <w:t xml:space="preserve"> </w:t>
      </w:r>
      <w:r w:rsidR="009365C3">
        <w:t>Here</w:t>
      </w:r>
      <w:r w:rsidR="00C07510">
        <w:t>,</w:t>
      </w:r>
      <w:r w:rsidR="009365C3">
        <w:t xml:space="preserve"> </w:t>
      </w:r>
      <w:r w:rsidR="009365C3" w:rsidRPr="009365C3">
        <w:rPr>
          <w:i/>
          <w:iCs/>
        </w:rPr>
        <w:t>operando</w:t>
      </w:r>
      <w:r w:rsidR="009365C3">
        <w:rPr>
          <w:i/>
          <w:iCs/>
        </w:rPr>
        <w:t xml:space="preserve"> </w:t>
      </w:r>
      <w:r w:rsidR="009365C3">
        <w:t xml:space="preserve">Raman spectroscopy </w:t>
      </w:r>
      <w:r w:rsidR="007C7A3F">
        <w:t xml:space="preserve">was used </w:t>
      </w:r>
      <w:r w:rsidR="009365C3">
        <w:t>to investigate the electrooxidation of C3 alcohols on a Ni electrode</w:t>
      </w:r>
      <w:r w:rsidR="00121043">
        <w:t>, including mono-</w:t>
      </w:r>
      <w:proofErr w:type="spellStart"/>
      <w:r w:rsidR="00121043">
        <w:t>ols</w:t>
      </w:r>
      <w:proofErr w:type="spellEnd"/>
      <w:r w:rsidR="00121043">
        <w:t xml:space="preserve"> (n-propanol</w:t>
      </w:r>
      <w:r w:rsidR="00D25AB1">
        <w:t xml:space="preserve"> and 2-propanol</w:t>
      </w:r>
      <w:r w:rsidR="00121043">
        <w:t>), diols (</w:t>
      </w:r>
      <w:r w:rsidR="00D25AB1">
        <w:t>1,2 propanediol</w:t>
      </w:r>
      <w:r w:rsidR="00121043">
        <w:t xml:space="preserve">, </w:t>
      </w:r>
      <w:r w:rsidR="00D25AB1">
        <w:t>1,3 propanediol</w:t>
      </w:r>
      <w:r w:rsidR="00121043">
        <w:t>) and the triol (glycerol)</w:t>
      </w:r>
      <w:r w:rsidR="00D25AB1">
        <w:t xml:space="preserve">, differing in the amount of hydroxyl groups present in the </w:t>
      </w:r>
      <w:r w:rsidR="00F1043B">
        <w:t>structure</w:t>
      </w:r>
      <w:r w:rsidR="00314C43">
        <w:t>.</w:t>
      </w:r>
      <w:r w:rsidR="006E7190">
        <w:t xml:space="preserve"> The influence of alcohol structure and concentration on both the electrochemical current response and the formation of the </w:t>
      </w:r>
      <w:proofErr w:type="spellStart"/>
      <w:r w:rsidR="006E7190">
        <w:t>NiOOH</w:t>
      </w:r>
      <w:proofErr w:type="spellEnd"/>
      <w:r w:rsidR="006E7190">
        <w:t xml:space="preserve"> phase was systematically investigated </w:t>
      </w:r>
      <w:r w:rsidR="00C56B05">
        <w:t>by cyclic voltammetry (CV) and chronoamperometry (CA).</w:t>
      </w:r>
      <w:r w:rsidR="00F01CDD">
        <w:t xml:space="preserve"> The </w:t>
      </w:r>
      <w:proofErr w:type="spellStart"/>
      <w:r w:rsidR="00F01CDD">
        <w:t>NiOOH</w:t>
      </w:r>
      <w:proofErr w:type="spellEnd"/>
      <w:r w:rsidR="00F01CDD">
        <w:t xml:space="preserve"> features observed in both CV and </w:t>
      </w:r>
      <w:r w:rsidR="00F01CDD" w:rsidRPr="00966472">
        <w:rPr>
          <w:i/>
          <w:iCs/>
        </w:rPr>
        <w:t xml:space="preserve">operando </w:t>
      </w:r>
      <w:r w:rsidR="00F01CDD">
        <w:t xml:space="preserve">Raman spectroscopy change substantially by increasing either or both, the number of hydroxyl groups and the alcohol concentration. Reduced intensities were observed in all polyol Raman signals at millimolar levels, while, in the presence of the tested mono-alcohols, clear </w:t>
      </w:r>
      <w:proofErr w:type="spellStart"/>
      <w:r w:rsidR="00F01CDD">
        <w:t>NiOOH</w:t>
      </w:r>
      <w:proofErr w:type="spellEnd"/>
      <w:r w:rsidR="00F01CDD">
        <w:t xml:space="preserve"> signatures closely resembled the CV and Raman responses observed in blank electrolyte at concentrations up to 3 M. </w:t>
      </w:r>
      <w:r w:rsidR="00B54C53">
        <w:t xml:space="preserve">CA was recorded in the presence of different concentrations of alcohol, the observed changes in current were explained by the differences in the adsorption behavior of each alcohol substrate </w:t>
      </w:r>
      <w:r w:rsidR="00D813E5">
        <w:t xml:space="preserve"> </w:t>
      </w:r>
      <w:r w:rsidR="00DE594E">
        <w:t>which was found</w:t>
      </w:r>
      <w:r w:rsidR="00D25AB1">
        <w:t xml:space="preserve"> to be</w:t>
      </w:r>
      <w:r w:rsidR="00DE594E">
        <w:t xml:space="preserve"> </w:t>
      </w:r>
      <w:r w:rsidR="00D813E5">
        <w:t xml:space="preserve">in agreement with </w:t>
      </w:r>
      <w:r w:rsidR="00DE594E">
        <w:t>density functional theory (DFT)</w:t>
      </w:r>
      <w:r w:rsidR="00D813E5">
        <w:t xml:space="preserve"> predictions.</w:t>
      </w:r>
      <w:r w:rsidR="00B54C53">
        <w:t xml:space="preserve"> </w:t>
      </w:r>
      <w:r w:rsidR="00DE594E">
        <w:t>Ongoing</w:t>
      </w:r>
      <w:r w:rsidR="00DE0CAC">
        <w:t xml:space="preserve"> measurements involve the use of differential electrochemical mass spectrometry (DEMS) to probe the</w:t>
      </w:r>
      <w:r w:rsidR="00503E59">
        <w:t xml:space="preserve"> competition between the alcohol electrooxidation and the</w:t>
      </w:r>
      <w:r w:rsidR="00DE0CAC">
        <w:t xml:space="preserve"> parasitic oxygen evolution reaction</w:t>
      </w:r>
      <w:r w:rsidR="00503E59">
        <w:t xml:space="preserve"> (OER)</w:t>
      </w:r>
      <w:r w:rsidR="00DE0CAC">
        <w:t xml:space="preserve">. </w:t>
      </w:r>
      <w:r w:rsidR="00D813E5">
        <w:t xml:space="preserve"> </w:t>
      </w:r>
      <w:r w:rsidR="00CE0B44">
        <w:t>Preliminary results suggests that</w:t>
      </w:r>
      <w:r w:rsidR="007040A3">
        <w:t xml:space="preserve"> the OER is inhibited in the presence of</w:t>
      </w:r>
      <w:r w:rsidR="00CE0B44">
        <w:t xml:space="preserve"> p</w:t>
      </w:r>
      <w:r w:rsidR="00D813E5">
        <w:t xml:space="preserve">olyols at </w:t>
      </w:r>
      <w:r w:rsidR="004B6C4E">
        <w:t xml:space="preserve">lower </w:t>
      </w:r>
      <w:r w:rsidR="00D813E5">
        <w:t xml:space="preserve">concentrations </w:t>
      </w:r>
      <w:r w:rsidR="004B6C4E">
        <w:t xml:space="preserve">than the </w:t>
      </w:r>
      <w:r w:rsidR="00D813E5">
        <w:t>mono-</w:t>
      </w:r>
      <w:proofErr w:type="spellStart"/>
      <w:r w:rsidR="00D813E5">
        <w:t>ols</w:t>
      </w:r>
      <w:proofErr w:type="spellEnd"/>
      <w:r w:rsidR="00D813E5">
        <w:t xml:space="preserve">, </w:t>
      </w:r>
      <w:r w:rsidR="00873F2D">
        <w:t>which, in</w:t>
      </w:r>
      <w:r w:rsidR="008120D1">
        <w:t xml:space="preserve"> agreement with </w:t>
      </w:r>
      <w:r w:rsidR="00D813E5">
        <w:t xml:space="preserve">the </w:t>
      </w:r>
      <w:r w:rsidR="008120D1">
        <w:rPr>
          <w:i/>
          <w:iCs/>
        </w:rPr>
        <w:t xml:space="preserve">operando </w:t>
      </w:r>
      <w:r w:rsidR="008120D1">
        <w:t>Raman investigations</w:t>
      </w:r>
      <w:r w:rsidR="00873F2D">
        <w:t xml:space="preserve">, could be explained by a lower availability of </w:t>
      </w:r>
      <w:proofErr w:type="spellStart"/>
      <w:r w:rsidR="00873F2D">
        <w:t>NiOOH</w:t>
      </w:r>
      <w:proofErr w:type="spellEnd"/>
      <w:r w:rsidR="005B04DA">
        <w:t>, which are also active sites for the OER</w:t>
      </w:r>
      <w:r w:rsidR="00D813E5">
        <w:t xml:space="preserve">. </w:t>
      </w:r>
      <w:r w:rsidR="00314C43">
        <w:t xml:space="preserve">These findings demonstrate that alcohol oxidation on Ni is not dependent </w:t>
      </w:r>
      <w:r w:rsidR="008A0D72">
        <w:t xml:space="preserve">only </w:t>
      </w:r>
      <w:r w:rsidR="00314C43">
        <w:t xml:space="preserve">on the presence of the </w:t>
      </w:r>
      <w:proofErr w:type="spellStart"/>
      <w:r w:rsidR="00314C43">
        <w:t>NiOOH</w:t>
      </w:r>
      <w:proofErr w:type="spellEnd"/>
      <w:r w:rsidR="00314C43">
        <w:t xml:space="preserve"> active site but </w:t>
      </w:r>
      <w:r w:rsidR="00AB2D83">
        <w:t>in</w:t>
      </w:r>
      <w:r w:rsidR="00314C43">
        <w:t xml:space="preserve"> </w:t>
      </w:r>
      <w:r w:rsidR="008A0D72">
        <w:t>the competition between OH</w:t>
      </w:r>
      <w:r w:rsidR="008A0D72" w:rsidRPr="00D25AB1">
        <w:rPr>
          <w:vertAlign w:val="superscript"/>
        </w:rPr>
        <w:t>-</w:t>
      </w:r>
      <w:r w:rsidR="008A0D72">
        <w:t xml:space="preserve"> and alcohol </w:t>
      </w:r>
      <w:r w:rsidR="00314C43">
        <w:t>adsorption and the ability of the active site to turn over in presence of th</w:t>
      </w:r>
      <w:r w:rsidR="00517DD5">
        <w:t>is</w:t>
      </w:r>
      <w:r w:rsidR="00314C43">
        <w:t xml:space="preserve"> substrate. The results have implications </w:t>
      </w:r>
      <w:r w:rsidR="00874E84">
        <w:t>in</w:t>
      </w:r>
      <w:r w:rsidR="00314C43">
        <w:t xml:space="preserve"> understanding selectivity challenges and concentrations dependencies during alcohol </w:t>
      </w:r>
      <w:r w:rsidR="00874E84">
        <w:t>electrooxidation</w:t>
      </w:r>
      <w:r w:rsidR="00314C43">
        <w:t>.</w:t>
      </w:r>
    </w:p>
    <w:p w14:paraId="6421E2BB" w14:textId="7C6C7D9A" w:rsidR="00DB206A" w:rsidRDefault="00DB206A" w:rsidP="00E0716D">
      <w:pPr>
        <w:jc w:val="both"/>
      </w:pPr>
    </w:p>
    <w:p w14:paraId="691B74AE" w14:textId="6F772A62" w:rsidR="00DB206A" w:rsidRPr="00874E84" w:rsidRDefault="00DB206A" w:rsidP="00E0716D">
      <w:pPr>
        <w:jc w:val="both"/>
        <w:rPr>
          <w:b/>
          <w:bCs/>
        </w:rPr>
      </w:pPr>
      <w:r w:rsidRPr="00874E84">
        <w:rPr>
          <w:b/>
          <w:bCs/>
        </w:rPr>
        <w:t>References</w:t>
      </w:r>
    </w:p>
    <w:p w14:paraId="0DD853D4" w14:textId="77777777" w:rsidR="00DB206A" w:rsidRDefault="00DB206A" w:rsidP="00E0716D">
      <w:pPr>
        <w:jc w:val="both"/>
      </w:pPr>
    </w:p>
    <w:p w14:paraId="698F93FE" w14:textId="77777777" w:rsidR="00874E84" w:rsidRPr="00874E84" w:rsidRDefault="00874E84" w:rsidP="00874E84">
      <w:pPr>
        <w:pStyle w:val="Bibliography"/>
      </w:pPr>
      <w:r>
        <w:fldChar w:fldCharType="begin"/>
      </w:r>
      <w:r>
        <w:instrText xml:space="preserve"> ADDIN ZOTERO_BIBL {"uncited":[],"omitted":[],"custom":[]} CSL_BIBLIOGRAPHY </w:instrText>
      </w:r>
      <w:r>
        <w:fldChar w:fldCharType="separate"/>
      </w:r>
      <w:r w:rsidRPr="00874E84">
        <w:t>[1]</w:t>
      </w:r>
      <w:r w:rsidRPr="00874E84">
        <w:tab/>
        <w:t xml:space="preserve">Y. Wu, P. Chen, “Hybrid water electrolysis toward energy-efficient hydrogen production coupled with value-added chemical synthesis” </w:t>
      </w:r>
      <w:r w:rsidRPr="00874E84">
        <w:rPr>
          <w:i/>
          <w:iCs/>
        </w:rPr>
        <w:t>Green Chemistry</w:t>
      </w:r>
      <w:r w:rsidRPr="00874E84">
        <w:t xml:space="preserve"> </w:t>
      </w:r>
      <w:r w:rsidRPr="00874E84">
        <w:rPr>
          <w:b/>
          <w:bCs/>
        </w:rPr>
        <w:t>2026</w:t>
      </w:r>
      <w:r w:rsidRPr="00874E84">
        <w:t xml:space="preserve">, </w:t>
      </w:r>
      <w:r w:rsidRPr="00874E84">
        <w:rPr>
          <w:i/>
          <w:iCs/>
        </w:rPr>
        <w:t>28</w:t>
      </w:r>
      <w:r w:rsidRPr="00874E84">
        <w:t>, 3043–3072.</w:t>
      </w:r>
    </w:p>
    <w:p w14:paraId="442D78AD" w14:textId="77777777" w:rsidR="00874E84" w:rsidRPr="00874E84" w:rsidRDefault="00874E84" w:rsidP="00874E84">
      <w:pPr>
        <w:pStyle w:val="Bibliography"/>
      </w:pPr>
      <w:r w:rsidRPr="00874E84">
        <w:t>[2]</w:t>
      </w:r>
      <w:r w:rsidRPr="00874E84">
        <w:tab/>
        <w:t xml:space="preserve">F. van Lieshout, D. M. Morales, “Anodic Reactions in Alkaline Hybrid Water Electrolyzers: Activity versus Selectivity” </w:t>
      </w:r>
      <w:r w:rsidRPr="00874E84">
        <w:rPr>
          <w:i/>
          <w:iCs/>
        </w:rPr>
        <w:t>ChemPlusChem</w:t>
      </w:r>
      <w:r w:rsidRPr="00874E84">
        <w:t xml:space="preserve"> </w:t>
      </w:r>
      <w:r w:rsidRPr="00874E84">
        <w:rPr>
          <w:b/>
          <w:bCs/>
        </w:rPr>
        <w:t>2024</w:t>
      </w:r>
      <w:r w:rsidRPr="00874E84">
        <w:t xml:space="preserve">, </w:t>
      </w:r>
      <w:r w:rsidRPr="00874E84">
        <w:rPr>
          <w:i/>
          <w:iCs/>
        </w:rPr>
        <w:t>89</w:t>
      </w:r>
      <w:r w:rsidRPr="00874E84">
        <w:t>, e202400182.</w:t>
      </w:r>
    </w:p>
    <w:p w14:paraId="7CD64F1B" w14:textId="7C81FBB9" w:rsidR="00874E84" w:rsidRDefault="00874E84" w:rsidP="00874E84">
      <w:pPr>
        <w:jc w:val="both"/>
      </w:pPr>
      <w:r>
        <w:fldChar w:fldCharType="end"/>
      </w:r>
    </w:p>
    <w:p w14:paraId="41558FE8" w14:textId="0986AF5F" w:rsidR="00874E84" w:rsidRPr="00874E84" w:rsidRDefault="00874E84" w:rsidP="00E0716D">
      <w:pPr>
        <w:jc w:val="both"/>
        <w:rPr>
          <w:b/>
          <w:bCs/>
        </w:rPr>
      </w:pPr>
      <w:r w:rsidRPr="00874E84">
        <w:rPr>
          <w:b/>
          <w:bCs/>
        </w:rPr>
        <w:t>Acknowledgements</w:t>
      </w:r>
      <w:r>
        <w:rPr>
          <w:b/>
          <w:bCs/>
        </w:rPr>
        <w:t xml:space="preserve">: </w:t>
      </w:r>
      <w:r>
        <w:t xml:space="preserve">The authors kindly acknowledge Dani Wu, </w:t>
      </w:r>
      <w:r w:rsidR="00F059A4">
        <w:t xml:space="preserve">dr. </w:t>
      </w:r>
      <w:proofErr w:type="spellStart"/>
      <w:r>
        <w:t>Chongyang</w:t>
      </w:r>
      <w:proofErr w:type="spellEnd"/>
      <w:r>
        <w:t xml:space="preserve"> Jiang, </w:t>
      </w:r>
      <w:r w:rsidR="00F059A4">
        <w:t xml:space="preserve">dr. </w:t>
      </w:r>
      <w:r>
        <w:rPr>
          <w:color w:val="000000"/>
        </w:rPr>
        <w:t xml:space="preserve">Eleazar </w:t>
      </w:r>
      <w:proofErr w:type="spellStart"/>
      <w:r>
        <w:rPr>
          <w:color w:val="000000"/>
        </w:rPr>
        <w:t>Castañeda</w:t>
      </w:r>
      <w:proofErr w:type="spellEnd"/>
      <w:r>
        <w:rPr>
          <w:color w:val="000000"/>
        </w:rPr>
        <w:t xml:space="preserve">-Morales and </w:t>
      </w:r>
      <w:r w:rsidR="00581F64">
        <w:rPr>
          <w:color w:val="000000"/>
        </w:rPr>
        <w:t xml:space="preserve">prof. </w:t>
      </w:r>
      <w:r>
        <w:rPr>
          <w:color w:val="000000"/>
        </w:rPr>
        <w:t>Arturo Manzo-Robledo for their contributions to this work.</w:t>
      </w:r>
    </w:p>
    <w:p w14:paraId="3F80D9FB" w14:textId="77777777" w:rsidR="000D1D86" w:rsidRDefault="000D1D86" w:rsidP="00E0716D">
      <w:pPr>
        <w:jc w:val="both"/>
      </w:pPr>
    </w:p>
    <w:p w14:paraId="7C7D2672" w14:textId="77777777" w:rsidR="00325004" w:rsidRDefault="00325004" w:rsidP="00E0716D">
      <w:pPr>
        <w:jc w:val="both"/>
      </w:pPr>
    </w:p>
    <w:p w14:paraId="67A3CB9C" w14:textId="6BB9DCE2"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85056"/>
    <w:multiLevelType w:val="hybridMultilevel"/>
    <w:tmpl w:val="8DC66F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5D80675"/>
    <w:multiLevelType w:val="hybridMultilevel"/>
    <w:tmpl w:val="5BD8D5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16025"/>
    <w:rsid w:val="00041EFD"/>
    <w:rsid w:val="000B632F"/>
    <w:rsid w:val="000B70FE"/>
    <w:rsid w:val="000D1D86"/>
    <w:rsid w:val="000D788D"/>
    <w:rsid w:val="000F62C4"/>
    <w:rsid w:val="00103A38"/>
    <w:rsid w:val="00121043"/>
    <w:rsid w:val="00155FBF"/>
    <w:rsid w:val="00173FA0"/>
    <w:rsid w:val="001858FA"/>
    <w:rsid w:val="002151AB"/>
    <w:rsid w:val="00261673"/>
    <w:rsid w:val="002812D5"/>
    <w:rsid w:val="002D4799"/>
    <w:rsid w:val="002E6AF8"/>
    <w:rsid w:val="00314C43"/>
    <w:rsid w:val="00316C17"/>
    <w:rsid w:val="00325004"/>
    <w:rsid w:val="0032655B"/>
    <w:rsid w:val="003343E0"/>
    <w:rsid w:val="0036236E"/>
    <w:rsid w:val="0039556E"/>
    <w:rsid w:val="004B6C4E"/>
    <w:rsid w:val="004D6048"/>
    <w:rsid w:val="00503E59"/>
    <w:rsid w:val="00517DD5"/>
    <w:rsid w:val="00536366"/>
    <w:rsid w:val="00581F64"/>
    <w:rsid w:val="005B04DA"/>
    <w:rsid w:val="005E7CE4"/>
    <w:rsid w:val="00611E1F"/>
    <w:rsid w:val="00615E5B"/>
    <w:rsid w:val="00626063"/>
    <w:rsid w:val="00685C1A"/>
    <w:rsid w:val="006C4AEE"/>
    <w:rsid w:val="006E7190"/>
    <w:rsid w:val="007040A3"/>
    <w:rsid w:val="00760B42"/>
    <w:rsid w:val="007C7A3F"/>
    <w:rsid w:val="007D0CC8"/>
    <w:rsid w:val="007F45BF"/>
    <w:rsid w:val="008120D1"/>
    <w:rsid w:val="00822F86"/>
    <w:rsid w:val="008712B1"/>
    <w:rsid w:val="00873F2D"/>
    <w:rsid w:val="00874E84"/>
    <w:rsid w:val="008A0D72"/>
    <w:rsid w:val="008A6E56"/>
    <w:rsid w:val="00927D37"/>
    <w:rsid w:val="009365C3"/>
    <w:rsid w:val="00966472"/>
    <w:rsid w:val="00A14613"/>
    <w:rsid w:val="00A33887"/>
    <w:rsid w:val="00A34E14"/>
    <w:rsid w:val="00A749E7"/>
    <w:rsid w:val="00AB2D83"/>
    <w:rsid w:val="00B2042F"/>
    <w:rsid w:val="00B50D88"/>
    <w:rsid w:val="00B54C53"/>
    <w:rsid w:val="00B67659"/>
    <w:rsid w:val="00C07510"/>
    <w:rsid w:val="00C10CD6"/>
    <w:rsid w:val="00C56B05"/>
    <w:rsid w:val="00C83EC9"/>
    <w:rsid w:val="00C91504"/>
    <w:rsid w:val="00C96871"/>
    <w:rsid w:val="00CE0B44"/>
    <w:rsid w:val="00D25AB1"/>
    <w:rsid w:val="00D4202B"/>
    <w:rsid w:val="00D813E5"/>
    <w:rsid w:val="00DB206A"/>
    <w:rsid w:val="00DE0CAC"/>
    <w:rsid w:val="00DE594E"/>
    <w:rsid w:val="00E0716D"/>
    <w:rsid w:val="00EC5DF3"/>
    <w:rsid w:val="00ED3034"/>
    <w:rsid w:val="00EE030C"/>
    <w:rsid w:val="00EF3FB1"/>
    <w:rsid w:val="00F01CDD"/>
    <w:rsid w:val="00F059A4"/>
    <w:rsid w:val="00F07DA7"/>
    <w:rsid w:val="00F1043B"/>
    <w:rsid w:val="00F34A59"/>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2185EB"/>
  <w14:defaultImageDpi w14:val="300"/>
  <w15:docId w15:val="{B6366CAB-5F5A-41CA-A288-375D72F3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1D86"/>
    <w:rPr>
      <w:color w:val="0000FF" w:themeColor="hyperlink"/>
      <w:u w:val="single"/>
    </w:rPr>
  </w:style>
  <w:style w:type="character" w:styleId="UnresolvedMention">
    <w:name w:val="Unresolved Mention"/>
    <w:basedOn w:val="DefaultParagraphFont"/>
    <w:uiPriority w:val="99"/>
    <w:semiHidden/>
    <w:unhideWhenUsed/>
    <w:rsid w:val="000D1D86"/>
    <w:rPr>
      <w:color w:val="605E5C"/>
      <w:shd w:val="clear" w:color="auto" w:fill="E1DFDD"/>
    </w:rPr>
  </w:style>
  <w:style w:type="paragraph" w:styleId="ListParagraph">
    <w:name w:val="List Paragraph"/>
    <w:basedOn w:val="Normal"/>
    <w:uiPriority w:val="34"/>
    <w:qFormat/>
    <w:rsid w:val="00927D37"/>
    <w:pPr>
      <w:ind w:left="720"/>
      <w:contextualSpacing/>
    </w:pPr>
  </w:style>
  <w:style w:type="character" w:styleId="CommentReference">
    <w:name w:val="annotation reference"/>
    <w:basedOn w:val="DefaultParagraphFont"/>
    <w:uiPriority w:val="99"/>
    <w:semiHidden/>
    <w:unhideWhenUsed/>
    <w:rsid w:val="009365C3"/>
    <w:rPr>
      <w:sz w:val="16"/>
      <w:szCs w:val="16"/>
    </w:rPr>
  </w:style>
  <w:style w:type="paragraph" w:styleId="CommentText">
    <w:name w:val="annotation text"/>
    <w:basedOn w:val="Normal"/>
    <w:link w:val="CommentTextChar"/>
    <w:uiPriority w:val="99"/>
    <w:unhideWhenUsed/>
    <w:rsid w:val="009365C3"/>
  </w:style>
  <w:style w:type="character" w:customStyle="1" w:styleId="CommentTextChar">
    <w:name w:val="Comment Text Char"/>
    <w:basedOn w:val="DefaultParagraphFont"/>
    <w:link w:val="CommentText"/>
    <w:uiPriority w:val="99"/>
    <w:rsid w:val="009365C3"/>
    <w:rPr>
      <w:snapToGrid w:val="0"/>
    </w:rPr>
  </w:style>
  <w:style w:type="paragraph" w:styleId="CommentSubject">
    <w:name w:val="annotation subject"/>
    <w:basedOn w:val="CommentText"/>
    <w:next w:val="CommentText"/>
    <w:link w:val="CommentSubjectChar"/>
    <w:uiPriority w:val="99"/>
    <w:semiHidden/>
    <w:unhideWhenUsed/>
    <w:rsid w:val="009365C3"/>
    <w:rPr>
      <w:b/>
      <w:bCs/>
    </w:rPr>
  </w:style>
  <w:style w:type="character" w:customStyle="1" w:styleId="CommentSubjectChar">
    <w:name w:val="Comment Subject Char"/>
    <w:basedOn w:val="CommentTextChar"/>
    <w:link w:val="CommentSubject"/>
    <w:uiPriority w:val="99"/>
    <w:semiHidden/>
    <w:rsid w:val="009365C3"/>
    <w:rPr>
      <w:b/>
      <w:bCs/>
      <w:snapToGrid w:val="0"/>
    </w:rPr>
  </w:style>
  <w:style w:type="paragraph" w:styleId="Bibliography">
    <w:name w:val="Bibliography"/>
    <w:basedOn w:val="Normal"/>
    <w:next w:val="Normal"/>
    <w:uiPriority w:val="37"/>
    <w:unhideWhenUsed/>
    <w:rsid w:val="00874E84"/>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j.a.van.lieshout@rug.n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1094</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F.J.A. van Lieshout</cp:lastModifiedBy>
  <cp:revision>5</cp:revision>
  <cp:lastPrinted>2013-10-21T12:07:00Z</cp:lastPrinted>
  <dcterms:created xsi:type="dcterms:W3CDTF">2026-05-29T11:34:00Z</dcterms:created>
  <dcterms:modified xsi:type="dcterms:W3CDTF">2026-05-29T11:40:00Z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id="8aG4pyrj"/&gt;&lt;style id="http://www.zotero.org/styles/angewandte-chemie" hasBibliography="1" bibliographyStyleHasBeenSet="1"/&gt;&lt;prefs&gt;&lt;pref name="fieldType" value="Field"/&gt;&lt;/prefs&gt;&lt;/data&gt;</vt:lpwstr>
  </property>
</Properties>
</file>