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5004" w:rsidRPr="00A86EB9" w:rsidRDefault="008824DD" w:rsidP="00E0716D">
      <w:pPr>
        <w:jc w:val="center"/>
        <w:rPr>
          <w:b/>
          <w:sz w:val="28"/>
        </w:rPr>
      </w:pPr>
      <w:bookmarkStart w:id="0" w:name="_GoBack"/>
      <w:bookmarkEnd w:id="0"/>
      <w:r w:rsidRPr="008824DD">
        <w:rPr>
          <w:b/>
          <w:sz w:val="28"/>
        </w:rPr>
        <w:t xml:space="preserve">Through X-ray Eyes: Multi-technique Operando Synchrotron Studies of Nanoparticle Electrocatalysts </w:t>
      </w:r>
    </w:p>
    <w:p w:rsidR="00325004" w:rsidRPr="00A86EB9" w:rsidRDefault="00325004" w:rsidP="00E0716D">
      <w:pPr>
        <w:jc w:val="center"/>
        <w:rPr>
          <w:b/>
          <w:sz w:val="28"/>
        </w:rPr>
      </w:pPr>
    </w:p>
    <w:p w:rsidR="00325004" w:rsidRDefault="008824DD" w:rsidP="00E0716D">
      <w:pPr>
        <w:jc w:val="center"/>
      </w:pPr>
      <w:r>
        <w:rPr>
          <w:u w:val="single"/>
        </w:rPr>
        <w:t xml:space="preserve">Rebecca </w:t>
      </w:r>
      <w:r w:rsidR="009F6993">
        <w:rPr>
          <w:u w:val="single"/>
        </w:rPr>
        <w:t xml:space="preserve">K. </w:t>
      </w:r>
      <w:r>
        <w:rPr>
          <w:u w:val="single"/>
        </w:rPr>
        <w:t>Pittkowski</w:t>
      </w:r>
    </w:p>
    <w:p w:rsidR="00325004" w:rsidRPr="00A86EB9" w:rsidRDefault="008824DD" w:rsidP="00E0716D">
      <w:pPr>
        <w:jc w:val="center"/>
        <w:rPr>
          <w:i/>
        </w:rPr>
      </w:pPr>
      <w:r>
        <w:rPr>
          <w:i/>
        </w:rPr>
        <w:t>Department of Chemistry, University of Copenhagen</w:t>
      </w:r>
    </w:p>
    <w:p w:rsidR="00325004" w:rsidRDefault="008824DD" w:rsidP="00E0716D">
      <w:pPr>
        <w:jc w:val="center"/>
      </w:pPr>
      <w:proofErr w:type="spellStart"/>
      <w:r>
        <w:rPr>
          <w:i/>
        </w:rPr>
        <w:t>Universitetsparken</w:t>
      </w:r>
      <w:proofErr w:type="spellEnd"/>
      <w:r>
        <w:rPr>
          <w:i/>
        </w:rPr>
        <w:t xml:space="preserve"> 5, 2100 Copenhagen, Denmark</w:t>
      </w:r>
    </w:p>
    <w:p w:rsidR="00685C1A" w:rsidRPr="00685C1A" w:rsidRDefault="008824DD" w:rsidP="00E0716D">
      <w:pPr>
        <w:jc w:val="center"/>
        <w:rPr>
          <w:i/>
        </w:rPr>
      </w:pPr>
      <w:r>
        <w:rPr>
          <w:i/>
        </w:rPr>
        <w:t>Rebecca.pittkowski@chem.ku.dk</w:t>
      </w:r>
    </w:p>
    <w:p w:rsidR="00325004" w:rsidRDefault="00325004" w:rsidP="00E0716D">
      <w:pPr>
        <w:jc w:val="center"/>
      </w:pPr>
    </w:p>
    <w:p w:rsidR="008824DD" w:rsidRDefault="008824DD" w:rsidP="008824DD">
      <w:pPr>
        <w:jc w:val="both"/>
      </w:pPr>
      <w:r>
        <w:t xml:space="preserve">Electrocatalysis plays a major role in energy conversion technologies such as </w:t>
      </w:r>
      <w:proofErr w:type="spellStart"/>
      <w:r>
        <w:t>electrolyzers</w:t>
      </w:r>
      <w:proofErr w:type="spellEnd"/>
      <w:r>
        <w:t xml:space="preserve"> and fuel cells. Small nanoparticles, typically less than 10 nm in size, provide a high surface-to-bulk-atom ratio</w:t>
      </w:r>
      <w:r>
        <w:t>,</w:t>
      </w:r>
      <w:r>
        <w:t xml:space="preserve"> which is crucial for efficient utilization of the catalyst material, often based on scarce precious metals like </w:t>
      </w:r>
      <w:proofErr w:type="gramStart"/>
      <w:r>
        <w:t>Pt[</w:t>
      </w:r>
      <w:proofErr w:type="gramEnd"/>
      <w:r>
        <w:t xml:space="preserve">1] and Ir.[2] </w:t>
      </w:r>
    </w:p>
    <w:p w:rsidR="008824DD" w:rsidRDefault="008824DD" w:rsidP="008824DD">
      <w:pPr>
        <w:jc w:val="both"/>
      </w:pPr>
      <w:r>
        <w:t xml:space="preserve">However, these small nanoparticles frequently suffer from instability in electrochemical environments, and the underlying degradation mechanisms and structural rearrangements are, so far, not fully </w:t>
      </w:r>
      <w:proofErr w:type="gramStart"/>
      <w:r>
        <w:t>understood.[</w:t>
      </w:r>
      <w:proofErr w:type="gramEnd"/>
      <w:r>
        <w:t xml:space="preserve">3] In this context, synchrotron X-ray techniques are valuable tools for unraveling the catalyst's structural changes during operation. </w:t>
      </w:r>
      <w:r w:rsidRPr="008824DD">
        <w:rPr>
          <w:i/>
        </w:rPr>
        <w:t>In-situ</w:t>
      </w:r>
      <w:r>
        <w:t xml:space="preserve"> and </w:t>
      </w:r>
      <w:r w:rsidRPr="008824DD">
        <w:rPr>
          <w:i/>
        </w:rPr>
        <w:t>operando</w:t>
      </w:r>
      <w:r>
        <w:t xml:space="preserve"> experiments enable us to monitor the evolution of atomic structures. With small-angle X-ray scattering (SAXS), changes in size and morphology can be tracked [1] while X-ray total scattering with PDF analysis provides insights into the atomic </w:t>
      </w:r>
      <w:proofErr w:type="gramStart"/>
      <w:r>
        <w:t>structure[</w:t>
      </w:r>
      <w:proofErr w:type="gramEnd"/>
      <w:r w:rsidR="005E3141">
        <w:t>2</w:t>
      </w:r>
      <w:r>
        <w:t>]</w:t>
      </w:r>
      <w:r w:rsidR="005E3141">
        <w:t>, as illustrated in Fig.1</w:t>
      </w:r>
      <w:r>
        <w:t xml:space="preserve"> </w:t>
      </w:r>
    </w:p>
    <w:p w:rsidR="008824DD" w:rsidRDefault="008824DD" w:rsidP="008824DD">
      <w:pPr>
        <w:jc w:val="both"/>
      </w:pPr>
      <w:r>
        <w:t xml:space="preserve">This can provide valuable information on the mechanisms that dominate catalyst degradation and help devise new strategies for stability optimization. I will focus on the strengths and limitations of the different </w:t>
      </w:r>
      <w:r w:rsidRPr="008824DD">
        <w:rPr>
          <w:i/>
        </w:rPr>
        <w:t>operando</w:t>
      </w:r>
      <w:r>
        <w:t xml:space="preserve"> scattering techniques, SAXS, XRD, and X-ray total scattering, and how they can be combined with X-ray absorption spectroscopy (XAS). This integration offers a complete picture of the catalyst structure at applied potentials, which is fundamental for establishing structure-property relations.</w:t>
      </w:r>
    </w:p>
    <w:p w:rsidR="005E3141" w:rsidRDefault="005E3141" w:rsidP="008824DD">
      <w:pPr>
        <w:jc w:val="both"/>
      </w:pPr>
      <w:r>
        <w:t xml:space="preserve">To allow for high-quality X-ray scattering operando studies under high current densities, we have designed a new </w:t>
      </w:r>
      <w:r w:rsidRPr="005E3141">
        <w:rPr>
          <w:i/>
        </w:rPr>
        <w:t>operando</w:t>
      </w:r>
      <w:r>
        <w:t xml:space="preserve"> gas diffusion electrode (GDE) cell, allowing the collection of PDF, XRD, and SAXS data for both gas-consuming and gas-evolving reactions in acid and alkaline </w:t>
      </w:r>
      <w:proofErr w:type="gramStart"/>
      <w:r>
        <w:t>media[</w:t>
      </w:r>
      <w:proofErr w:type="gramEnd"/>
      <w:r>
        <w:t xml:space="preserve">4].  </w:t>
      </w:r>
    </w:p>
    <w:p w:rsidR="005E3141" w:rsidRDefault="005E3141" w:rsidP="008824DD">
      <w:pPr>
        <w:jc w:val="both"/>
      </w:pPr>
      <w:r>
        <w:t>Through the use of combined X-ray scattering techniques, structural information can be obtained across length scales for electrocatalysts of high interest for energy applications</w:t>
      </w:r>
      <w:r w:rsidR="00A837FA">
        <w:t xml:space="preserve">, including Pt/C stability in accelerated stress tests as ORR catalysts, as well as oxygen evolution reaction on </w:t>
      </w:r>
      <w:proofErr w:type="spellStart"/>
      <w:r w:rsidR="00A837FA">
        <w:t>Ir</w:t>
      </w:r>
      <w:proofErr w:type="spellEnd"/>
      <w:r w:rsidR="00A837FA">
        <w:t xml:space="preserve"> and </w:t>
      </w:r>
      <w:proofErr w:type="spellStart"/>
      <w:r w:rsidR="00A837FA">
        <w:t>NiFe</w:t>
      </w:r>
      <w:proofErr w:type="spellEnd"/>
      <w:r w:rsidR="00A837FA">
        <w:t xml:space="preserve"> state-of-the-art electrocatalysts [1], [2], [5].</w:t>
      </w:r>
    </w:p>
    <w:p w:rsidR="005E3141" w:rsidRDefault="005E3141" w:rsidP="008824DD">
      <w:pPr>
        <w:jc w:val="both"/>
      </w:pPr>
    </w:p>
    <w:p w:rsidR="00A837FA" w:rsidRDefault="00A837FA" w:rsidP="00A837FA">
      <w:pPr>
        <w:jc w:val="center"/>
      </w:pPr>
      <w:r>
        <w:rPr>
          <w:noProof/>
        </w:rPr>
        <w:drawing>
          <wp:inline distT="0" distB="0" distL="0" distR="0" wp14:anchorId="25B12652" wp14:editId="1817F142">
            <wp:extent cx="4850130" cy="210173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X-ray toolbox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961" b="19443"/>
                    <a:stretch/>
                  </pic:blipFill>
                  <pic:spPr bwMode="auto">
                    <a:xfrm>
                      <a:off x="0" y="0"/>
                      <a:ext cx="4868861" cy="2109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4150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8F1FCE" wp14:editId="32C40FD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20664981" name="_x0000_tole_rId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E02E43" id="_x0000_tole_rId2" o:spid="_x0000_s1026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uVAYwIAALgEAAAOAAAAZHJzL2Uyb0RvYy54bWysVMFu2zAMvQ/YPwi6p7ZTN02MOkURN0OB&#10;bivQ7VwokhwLs0VNUuJ0xf59lJxk6XoZhvngiCL9+MhH5up617VkK61ToEuanaWUSM1BKL0u6dcv&#10;y9GUEueZFqwFLUv6LB29nr9/d9WbQo6hgVZISxBEu6I3JW28N0WSON7IjrkzMFKjswbbMY+mXSfC&#10;sh7RuzYZp+kk6cEKY4FL5/C2Gpx0HvHrWnL/ua6d9KQtKXLz8W3jexXeyfyKFWvLTKP4ngb7BxYd&#10;UxqTHqEq5hnZWPUGqlPcgoPan3HoEqhrxWWsAavJ0j+qeWyYkbEWbI4zxza5/wfLP20fLFGipON0&#10;Msln04wSzTpU6mmX4vPkoZVP9k6MKWmUEDKoHLrWG1fgx4/mwYa6nbkH/s0RDY+yxa6HKDQWDdNr&#10;eePMmytroW8kE1hLxEteAQbDITRZ9R9BIBu28RAbvKttFxJi68gu6vh81FHuPOF4OTm/QOqUcHTt&#10;z8g4YcXhY2Od/yChI+FQUovsIjjb3js/hB5CQi4NS9W2cVQwBYaEy5AsKvwyS2e309tpPsrHk9tR&#10;nlbV6Ga5yEeTZXZ5UZ1Xi0WV/Qz4WV4MPQxwh2nL8r9Tcz/3w5wc581Bq0SAC5ScXa8WrSVbhtO+&#10;jE+QCgs/CUte04hurOXwG6uLYoT+DzqvQDyjFhawV9hWXHc8NGB/UNLj6pTUfd8wKylp7zTqOcvy&#10;POxaNPKLyzEa9tSzOvUwzRGqpJ6S4bjww35ujFXrBjNlURsNNzgDtYr6hPkYWCHvYOB6xAr2qxz2&#10;79SOUb//cOa/AAAA//8DAFBLAwQUAAYACAAAACEAhluH1dgAAAAFAQAADwAAAGRycy9kb3ducmV2&#10;LnhtbEyPQUvDQBCF70L/wzKCN7trESkxmyKF9lCl0LS9b7NjEszOxuw2Xf+9UxH0MszjDW++ly+S&#10;68SIQ2g9aXiYKhBIlbct1RoO+9X9HESIhqzpPKGGLwywKCY3ucmsv9AOxzLWgkMoZEZDE2OfSRmq&#10;Bp0JU98jsffuB2ciy6GWdjAXDnednCn1JJ1piT80psdlg9VHeXYajtt2s/mcv62XMa1fZ9vkx3L3&#10;qPXdbXp5BhExxb9juOIzOhTMdPJnskF0GrhI/JlXTymWp99FFrn8T198AwAA//8DAFBLAQItABQA&#10;BgAIAAAAIQC2gziS/gAAAOEBAAATAAAAAAAAAAAAAAAAAAAAAABbQ29udGVudF9UeXBlc10ueG1s&#10;UEsBAi0AFAAGAAgAAAAhADj9If/WAAAAlAEAAAsAAAAAAAAAAAAAAAAALwEAAF9yZWxzLy5yZWxz&#10;UEsBAi0AFAAGAAgAAAAhAKYa5UBjAgAAuAQAAA4AAAAAAAAAAAAAAAAALgIAAGRycy9lMm9Eb2Mu&#10;eG1sUEsBAi0AFAAGAAgAAAAhAIZbh9XYAAAABQEAAA8AAAAAAAAAAAAAAAAAvQQAAGRycy9kb3du&#10;cmV2LnhtbFBLBQYAAAAABAAEAPMAAADCBQAAAAA=&#10;" filled="f" stroked="f">
                <o:lock v:ext="edit" aspectratio="t" selection="t"/>
              </v:rect>
            </w:pict>
          </mc:Fallback>
        </mc:AlternateContent>
      </w:r>
    </w:p>
    <w:p w:rsidR="005E3141" w:rsidRDefault="00A837FA" w:rsidP="00A837FA">
      <w:pPr>
        <w:jc w:val="center"/>
      </w:pPr>
      <w:r w:rsidRPr="00FA56C1">
        <w:rPr>
          <w:b/>
        </w:rPr>
        <w:t>Figure 1.</w:t>
      </w:r>
      <w:r w:rsidRPr="00FA56C1">
        <w:t xml:space="preserve"> T</w:t>
      </w:r>
      <w:r>
        <w:t xml:space="preserve">oolbox of X-ray techniques used for the </w:t>
      </w:r>
      <w:r w:rsidRPr="00C43C9C">
        <w:t>operando</w:t>
      </w:r>
      <w:r>
        <w:t xml:space="preserve"> characterization of electrocatalysts for energy conversion reactions, with corresponding relevant restructuring mechanisms that can be probed</w:t>
      </w:r>
      <w:r>
        <w:t>.</w:t>
      </w:r>
    </w:p>
    <w:p w:rsidR="005E3141" w:rsidRDefault="005E3141" w:rsidP="008824DD">
      <w:pPr>
        <w:jc w:val="both"/>
      </w:pPr>
    </w:p>
    <w:p w:rsidR="00E0716D" w:rsidRDefault="005E3141" w:rsidP="008824DD">
      <w:pPr>
        <w:jc w:val="both"/>
      </w:pPr>
      <w:r>
        <w:t xml:space="preserve"> </w:t>
      </w:r>
    </w:p>
    <w:p w:rsidR="008824DD" w:rsidRPr="005E3141" w:rsidRDefault="008824DD" w:rsidP="008824DD">
      <w:pPr>
        <w:pStyle w:val="References"/>
        <w:rPr>
          <w:rFonts w:ascii="Times New Roman" w:hAnsi="Times New Roman" w:cs="Times New Roman"/>
          <w:color w:val="auto"/>
          <w:sz w:val="20"/>
          <w:lang w:val="da-DK"/>
        </w:rPr>
      </w:pPr>
      <w:r w:rsidRPr="005E3141">
        <w:rPr>
          <w:rFonts w:ascii="Times New Roman" w:hAnsi="Times New Roman" w:cs="Times New Roman"/>
          <w:color w:val="auto"/>
          <w:sz w:val="20"/>
          <w:lang w:val="da-DK"/>
        </w:rPr>
        <w:t>[1</w:t>
      </w:r>
      <w:r w:rsidRPr="005E3141">
        <w:rPr>
          <w:rFonts w:ascii="Times New Roman" w:hAnsi="Times New Roman" w:cs="Times New Roman"/>
          <w:color w:val="auto"/>
          <w:sz w:val="20"/>
          <w:lang w:val="da-DK"/>
        </w:rPr>
        <w:t xml:space="preserve">] J. Schroeder, R. K. Pittkowski et al. ACS </w:t>
      </w:r>
      <w:proofErr w:type="spellStart"/>
      <w:r w:rsidRPr="005E3141">
        <w:rPr>
          <w:rFonts w:ascii="Times New Roman" w:hAnsi="Times New Roman" w:cs="Times New Roman"/>
          <w:color w:val="auto"/>
          <w:sz w:val="20"/>
          <w:lang w:val="da-DK"/>
        </w:rPr>
        <w:t>Catalysis</w:t>
      </w:r>
      <w:proofErr w:type="spellEnd"/>
      <w:r w:rsidRPr="005E3141">
        <w:rPr>
          <w:rFonts w:ascii="Times New Roman" w:hAnsi="Times New Roman" w:cs="Times New Roman"/>
          <w:color w:val="auto"/>
          <w:sz w:val="20"/>
          <w:lang w:val="da-DK"/>
        </w:rPr>
        <w:t xml:space="preserve"> (2022). 12, 2077-2085.</w:t>
      </w:r>
    </w:p>
    <w:p w:rsidR="008824DD" w:rsidRPr="005E3141" w:rsidRDefault="008824DD" w:rsidP="008824DD">
      <w:pPr>
        <w:pStyle w:val="References"/>
        <w:rPr>
          <w:rFonts w:ascii="Times New Roman" w:hAnsi="Times New Roman" w:cs="Times New Roman"/>
          <w:color w:val="auto"/>
          <w:sz w:val="20"/>
          <w:lang w:val="da-DK"/>
        </w:rPr>
      </w:pPr>
      <w:r w:rsidRPr="005E3141">
        <w:rPr>
          <w:rFonts w:ascii="Times New Roman" w:hAnsi="Times New Roman" w:cs="Times New Roman"/>
          <w:color w:val="auto"/>
          <w:sz w:val="20"/>
          <w:lang w:val="da-DK"/>
        </w:rPr>
        <w:t>[2]</w:t>
      </w:r>
      <w:r w:rsidRPr="005E3141">
        <w:rPr>
          <w:rFonts w:ascii="Times New Roman" w:hAnsi="Times New Roman" w:cs="Times New Roman"/>
          <w:color w:val="auto"/>
          <w:sz w:val="20"/>
          <w:lang w:val="da-DK"/>
        </w:rPr>
        <w:t xml:space="preserve"> R. K. Pittkowski et al. J. Am. </w:t>
      </w:r>
      <w:proofErr w:type="spellStart"/>
      <w:r w:rsidRPr="005E3141">
        <w:rPr>
          <w:rFonts w:ascii="Times New Roman" w:hAnsi="Times New Roman" w:cs="Times New Roman"/>
          <w:color w:val="auto"/>
          <w:sz w:val="20"/>
          <w:lang w:val="da-DK"/>
        </w:rPr>
        <w:t>Chem</w:t>
      </w:r>
      <w:proofErr w:type="spellEnd"/>
      <w:r w:rsidRPr="005E3141">
        <w:rPr>
          <w:rFonts w:ascii="Times New Roman" w:hAnsi="Times New Roman" w:cs="Times New Roman"/>
          <w:color w:val="auto"/>
          <w:sz w:val="20"/>
          <w:lang w:val="da-DK"/>
        </w:rPr>
        <w:t>. Soc. (2024). 146,27517-27527.</w:t>
      </w:r>
    </w:p>
    <w:p w:rsidR="008824DD" w:rsidRPr="005E3141" w:rsidRDefault="008824DD" w:rsidP="008824DD">
      <w:pPr>
        <w:pStyle w:val="References"/>
        <w:ind w:left="0" w:firstLine="0"/>
        <w:rPr>
          <w:rFonts w:ascii="Times New Roman" w:hAnsi="Times New Roman" w:cs="Times New Roman"/>
          <w:color w:val="auto"/>
          <w:sz w:val="20"/>
          <w:lang w:val="en-US"/>
        </w:rPr>
      </w:pPr>
      <w:r w:rsidRPr="005E3141">
        <w:rPr>
          <w:rFonts w:ascii="Times New Roman" w:hAnsi="Times New Roman" w:cs="Times New Roman"/>
          <w:color w:val="auto"/>
          <w:sz w:val="20"/>
        </w:rPr>
        <w:t>[</w:t>
      </w:r>
      <w:r w:rsidR="005E3141" w:rsidRPr="005E3141">
        <w:rPr>
          <w:rFonts w:ascii="Times New Roman" w:hAnsi="Times New Roman" w:cs="Times New Roman"/>
          <w:color w:val="auto"/>
          <w:sz w:val="20"/>
        </w:rPr>
        <w:t>3</w:t>
      </w:r>
      <w:r w:rsidRPr="005E3141">
        <w:rPr>
          <w:rFonts w:ascii="Times New Roman" w:hAnsi="Times New Roman" w:cs="Times New Roman"/>
          <w:color w:val="auto"/>
          <w:sz w:val="20"/>
        </w:rPr>
        <w:t xml:space="preserve">] R.K. Pittkowski, </w:t>
      </w:r>
      <w:proofErr w:type="spellStart"/>
      <w:r w:rsidRPr="005E3141">
        <w:rPr>
          <w:rFonts w:ascii="Times New Roman" w:hAnsi="Times New Roman" w:cs="Times New Roman"/>
          <w:color w:val="auto"/>
          <w:sz w:val="20"/>
        </w:rPr>
        <w:t>ChemElectroChem</w:t>
      </w:r>
      <w:proofErr w:type="spellEnd"/>
      <w:r w:rsidRPr="005E3141">
        <w:rPr>
          <w:rFonts w:ascii="Times New Roman" w:hAnsi="Times New Roman" w:cs="Times New Roman"/>
          <w:color w:val="auto"/>
          <w:sz w:val="20"/>
        </w:rPr>
        <w:t xml:space="preserve">. (2024). e202400171 </w:t>
      </w:r>
    </w:p>
    <w:p w:rsidR="008824DD" w:rsidRPr="005E3141" w:rsidRDefault="008824DD" w:rsidP="008824DD">
      <w:pPr>
        <w:pStyle w:val="References"/>
        <w:rPr>
          <w:rFonts w:ascii="Times New Roman" w:hAnsi="Times New Roman" w:cs="Times New Roman"/>
          <w:color w:val="auto"/>
          <w:sz w:val="20"/>
          <w:lang w:val="da-DK"/>
        </w:rPr>
      </w:pPr>
      <w:r w:rsidRPr="005E3141">
        <w:rPr>
          <w:rFonts w:ascii="Times New Roman" w:hAnsi="Times New Roman" w:cs="Times New Roman"/>
          <w:color w:val="auto"/>
          <w:sz w:val="20"/>
          <w:lang w:val="da-DK"/>
        </w:rPr>
        <w:t>[</w:t>
      </w:r>
      <w:r w:rsidR="005E3141" w:rsidRPr="005E3141">
        <w:rPr>
          <w:rFonts w:ascii="Times New Roman" w:hAnsi="Times New Roman" w:cs="Times New Roman"/>
          <w:color w:val="auto"/>
          <w:sz w:val="20"/>
          <w:lang w:val="da-DK"/>
        </w:rPr>
        <w:t>4</w:t>
      </w:r>
      <w:r w:rsidRPr="005E3141">
        <w:rPr>
          <w:rFonts w:ascii="Times New Roman" w:hAnsi="Times New Roman" w:cs="Times New Roman"/>
          <w:color w:val="auto"/>
          <w:sz w:val="20"/>
          <w:lang w:val="da-DK"/>
        </w:rPr>
        <w:t xml:space="preserve">] G.K.H. Wiberg, </w:t>
      </w:r>
      <w:proofErr w:type="spellStart"/>
      <w:r w:rsidRPr="005E3141">
        <w:rPr>
          <w:rFonts w:ascii="Times New Roman" w:hAnsi="Times New Roman" w:cs="Times New Roman"/>
          <w:color w:val="auto"/>
          <w:sz w:val="20"/>
          <w:lang w:val="da-DK"/>
        </w:rPr>
        <w:t>R.K.Pittkowski</w:t>
      </w:r>
      <w:proofErr w:type="spellEnd"/>
      <w:r w:rsidRPr="005E3141">
        <w:rPr>
          <w:rFonts w:ascii="Times New Roman" w:hAnsi="Times New Roman" w:cs="Times New Roman"/>
          <w:color w:val="auto"/>
          <w:sz w:val="20"/>
          <w:lang w:val="da-DK"/>
        </w:rPr>
        <w:t xml:space="preserve"> et al. </w:t>
      </w:r>
      <w:proofErr w:type="spellStart"/>
      <w:r w:rsidRPr="005E3141">
        <w:rPr>
          <w:rFonts w:ascii="Times New Roman" w:hAnsi="Times New Roman" w:cs="Times New Roman"/>
          <w:color w:val="auto"/>
          <w:sz w:val="20"/>
          <w:lang w:val="da-DK"/>
        </w:rPr>
        <w:t>Chimia</w:t>
      </w:r>
      <w:proofErr w:type="spellEnd"/>
      <w:r w:rsidRPr="005E3141">
        <w:rPr>
          <w:rFonts w:ascii="Times New Roman" w:hAnsi="Times New Roman" w:cs="Times New Roman"/>
          <w:color w:val="auto"/>
          <w:sz w:val="20"/>
          <w:lang w:val="da-DK"/>
        </w:rPr>
        <w:t>. (2024). 78, 344-348.</w:t>
      </w:r>
    </w:p>
    <w:p w:rsidR="005E3141" w:rsidRPr="005E3141" w:rsidRDefault="005E3141" w:rsidP="008824DD">
      <w:pPr>
        <w:pStyle w:val="References"/>
        <w:rPr>
          <w:rFonts w:ascii="Times New Roman" w:hAnsi="Times New Roman" w:cs="Times New Roman"/>
          <w:color w:val="auto"/>
          <w:sz w:val="20"/>
          <w:lang w:val="da-DK"/>
        </w:rPr>
      </w:pPr>
      <w:r w:rsidRPr="005E3141">
        <w:rPr>
          <w:rFonts w:ascii="Times New Roman" w:hAnsi="Times New Roman" w:cs="Times New Roman"/>
          <w:color w:val="auto"/>
          <w:sz w:val="20"/>
          <w:lang w:val="da-DK"/>
        </w:rPr>
        <w:t>[5] O. Aalling-Frederiksen et al. Small (2025) 21, 2411211.</w:t>
      </w:r>
    </w:p>
    <w:p w:rsidR="00E0716D" w:rsidRPr="005E3141" w:rsidRDefault="00E0716D" w:rsidP="00E0716D">
      <w:pPr>
        <w:jc w:val="both"/>
        <w:rPr>
          <w:lang w:val="da-DK"/>
        </w:rPr>
      </w:pPr>
    </w:p>
    <w:sectPr w:rsidR="00E0716D" w:rsidRPr="005E3141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004"/>
    <w:rsid w:val="00041EFD"/>
    <w:rsid w:val="00325004"/>
    <w:rsid w:val="00536366"/>
    <w:rsid w:val="005E3141"/>
    <w:rsid w:val="006667B8"/>
    <w:rsid w:val="00685C1A"/>
    <w:rsid w:val="008824DD"/>
    <w:rsid w:val="009F6993"/>
    <w:rsid w:val="00A837FA"/>
    <w:rsid w:val="00A84F21"/>
    <w:rsid w:val="00E0716D"/>
    <w:rsid w:val="00F9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287B72"/>
  <w14:defaultImageDpi w14:val="300"/>
  <w15:docId w15:val="{836853A1-9873-4B1D-9828-7792069E2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0716D"/>
    <w:pPr>
      <w:widowControl w:val="0"/>
    </w:pPr>
    <w:rPr>
      <w:snapToGrid w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24D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eferences">
    <w:name w:val="References"/>
    <w:basedOn w:val="Heading4"/>
    <w:link w:val="ReferencesChar"/>
    <w:qFormat/>
    <w:rsid w:val="008824DD"/>
    <w:pPr>
      <w:keepLines w:val="0"/>
      <w:widowControl/>
      <w:suppressAutoHyphens/>
      <w:spacing w:before="0"/>
      <w:ind w:left="567" w:hanging="567"/>
      <w:jc w:val="both"/>
    </w:pPr>
    <w:rPr>
      <w:rFonts w:ascii="Arial" w:hAnsi="Arial"/>
      <w:bCs/>
      <w:i w:val="0"/>
      <w:iCs w:val="0"/>
      <w:snapToGrid/>
      <w:sz w:val="18"/>
      <w:szCs w:val="24"/>
      <w:lang w:val="en-GB" w:eastAsia="cs-CZ"/>
    </w:rPr>
  </w:style>
  <w:style w:type="character" w:customStyle="1" w:styleId="ReferencesChar">
    <w:name w:val="References Char"/>
    <w:basedOn w:val="Heading4Char"/>
    <w:link w:val="References"/>
    <w:rsid w:val="008824DD"/>
    <w:rPr>
      <w:rFonts w:ascii="Arial" w:eastAsiaTheme="majorEastAsia" w:hAnsi="Arial" w:cstheme="majorBidi"/>
      <w:bCs/>
      <w:i w:val="0"/>
      <w:iCs w:val="0"/>
      <w:snapToGrid/>
      <w:color w:val="365F91" w:themeColor="accent1" w:themeShade="BF"/>
      <w:sz w:val="18"/>
      <w:szCs w:val="24"/>
      <w:lang w:val="en-GB" w:eastAsia="cs-CZ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24DD"/>
    <w:rPr>
      <w:rFonts w:asciiTheme="majorHAnsi" w:eastAsiaTheme="majorEastAsia" w:hAnsiTheme="majorHAnsi" w:cstheme="majorBidi"/>
      <w:i/>
      <w:iCs/>
      <w:snapToGrid w:val="0"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414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Electrochemical Society</Company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Rebecca Katharina Pittkowski</cp:lastModifiedBy>
  <cp:revision>5</cp:revision>
  <cp:lastPrinted>2013-10-21T12:07:00Z</cp:lastPrinted>
  <dcterms:created xsi:type="dcterms:W3CDTF">2026-06-24T09:19:00Z</dcterms:created>
  <dcterms:modified xsi:type="dcterms:W3CDTF">2026-06-24T09:19:00Z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b758c6ba-a5a4-42ae-9974-17b4817ef44f</vt:lpwstr>
  </property>
</Properties>
</file>