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EA526" w14:textId="65FCDFC2" w:rsidR="00325004" w:rsidRPr="00A86EB9" w:rsidRDefault="00611C63" w:rsidP="00E0716D">
      <w:pPr>
        <w:jc w:val="center"/>
        <w:rPr>
          <w:b/>
          <w:sz w:val="28"/>
        </w:rPr>
      </w:pPr>
      <w:r>
        <w:rPr>
          <w:b/>
          <w:sz w:val="28"/>
        </w:rPr>
        <w:t xml:space="preserve">Revisiting the Glassy Carbon Electrified Interface: Unraveling </w:t>
      </w:r>
      <w:r w:rsidR="009B5775">
        <w:rPr>
          <w:b/>
          <w:sz w:val="28"/>
        </w:rPr>
        <w:t>Conductive Phase Growth in Oxyanion Media</w:t>
      </w:r>
    </w:p>
    <w:p w14:paraId="49725EE6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451E476C" w14:textId="77777777" w:rsidR="00250569" w:rsidRPr="00E56BFB" w:rsidRDefault="00250569" w:rsidP="00250569">
      <w:pPr>
        <w:pStyle w:val="Textoindependiente"/>
        <w:jc w:val="center"/>
      </w:pPr>
      <w:r w:rsidRPr="00E56BFB">
        <w:rPr>
          <w:u w:val="single"/>
        </w:rPr>
        <w:t>Jorge Martínez Guerra*</w:t>
      </w:r>
      <w:r w:rsidRPr="00E56BFB">
        <w:rPr>
          <w:u w:val="single"/>
          <w:vertAlign w:val="superscript"/>
        </w:rPr>
        <w:t>(a)</w:t>
      </w:r>
      <w:r w:rsidRPr="00E56BFB">
        <w:t>, Manuel Eduardo Palomar Pardavé</w:t>
      </w:r>
      <w:r w:rsidRPr="00E56BFB">
        <w:rPr>
          <w:vertAlign w:val="superscript"/>
        </w:rPr>
        <w:t>(a)</w:t>
      </w:r>
      <w:r w:rsidRPr="00E56BFB">
        <w:t>, María Teresa Ramírez Silva</w:t>
      </w:r>
      <w:r w:rsidRPr="00E56BFB">
        <w:rPr>
          <w:vertAlign w:val="superscript"/>
        </w:rPr>
        <w:t>(b)</w:t>
      </w:r>
      <w:r>
        <w:t xml:space="preserve">, </w:t>
      </w:r>
      <w:r w:rsidRPr="00E56BFB">
        <w:t>Alberto Rojas Hernández</w:t>
      </w:r>
      <w:r w:rsidRPr="00E56BFB">
        <w:rPr>
          <w:vertAlign w:val="superscript"/>
        </w:rPr>
        <w:t>(b)</w:t>
      </w:r>
      <w:r>
        <w:t>.</w:t>
      </w:r>
    </w:p>
    <w:p w14:paraId="35A6C59D" w14:textId="77777777" w:rsidR="00250569" w:rsidRPr="00E56BFB" w:rsidRDefault="00250569" w:rsidP="00250569">
      <w:pPr>
        <w:pStyle w:val="Textoindependiente"/>
        <w:rPr>
          <w:u w:val="single"/>
        </w:rPr>
      </w:pPr>
    </w:p>
    <w:p w14:paraId="59F7E788" w14:textId="77777777" w:rsidR="00250569" w:rsidRPr="007D2228" w:rsidRDefault="00250569" w:rsidP="00250569">
      <w:pPr>
        <w:pStyle w:val="affiliation"/>
        <w:rPr>
          <w:i/>
          <w:iCs/>
          <w:sz w:val="20"/>
          <w:lang w:val="es-MX"/>
        </w:rPr>
      </w:pPr>
      <w:r w:rsidRPr="007D2228">
        <w:rPr>
          <w:i/>
          <w:iCs/>
          <w:sz w:val="20"/>
          <w:vertAlign w:val="superscript"/>
          <w:lang w:val="en-US"/>
        </w:rPr>
        <w:t xml:space="preserve">a </w:t>
      </w:r>
      <w:r w:rsidRPr="007D2228">
        <w:rPr>
          <w:i/>
          <w:iCs/>
          <w:sz w:val="20"/>
          <w:lang w:val="es-MX"/>
        </w:rPr>
        <w:t>Universidad Autónoma Metropolitana-Azcapotzalco, Departamento de Materiales, Av. San Pablo 420, Colonia Nueva el Rosario, Alcaldía Azcapotzalco, Ciudad de México 02128, México.</w:t>
      </w:r>
    </w:p>
    <w:p w14:paraId="167A41E6" w14:textId="77777777" w:rsidR="00250569" w:rsidRPr="007D2228" w:rsidRDefault="00250569" w:rsidP="00250569">
      <w:pPr>
        <w:pStyle w:val="affiliation"/>
        <w:rPr>
          <w:i/>
          <w:iCs/>
          <w:sz w:val="20"/>
          <w:lang w:val="es-ES"/>
        </w:rPr>
      </w:pPr>
      <w:r w:rsidRPr="007D2228">
        <w:rPr>
          <w:i/>
          <w:iCs/>
          <w:sz w:val="20"/>
          <w:vertAlign w:val="superscript"/>
          <w:lang w:val="es-MX"/>
        </w:rPr>
        <w:t xml:space="preserve">b </w:t>
      </w:r>
      <w:r w:rsidRPr="007D2228">
        <w:rPr>
          <w:i/>
          <w:iCs/>
          <w:sz w:val="20"/>
          <w:lang w:val="en-US"/>
        </w:rPr>
        <w:t xml:space="preserve">Universidad Autónoma Metropolitana-Iztapalapa, Área de Química Analítica, </w:t>
      </w:r>
      <w:r w:rsidRPr="007D2228">
        <w:rPr>
          <w:i/>
          <w:iCs/>
          <w:sz w:val="20"/>
          <w:lang w:val="es-ES"/>
        </w:rPr>
        <w:t xml:space="preserve">Av. Ferrocarril San Rafael Atlixco #186, Colonia Leyes de Reforma 1A Sección, Ciudad de México 09310, México. </w:t>
      </w:r>
    </w:p>
    <w:p w14:paraId="3EA476EA" w14:textId="6B3EC0D6" w:rsidR="00685C1A" w:rsidRDefault="00250569" w:rsidP="00250569">
      <w:pPr>
        <w:jc w:val="center"/>
        <w:rPr>
          <w:i/>
        </w:rPr>
      </w:pPr>
      <w:r>
        <w:rPr>
          <w:i/>
          <w:iCs/>
        </w:rPr>
        <w:t>e-mail</w:t>
      </w:r>
      <w:r w:rsidRPr="007D2228">
        <w:rPr>
          <w:i/>
          <w:iCs/>
        </w:rPr>
        <w:t>: jguerra_fq90@outlook.com</w:t>
      </w:r>
    </w:p>
    <w:p w14:paraId="12D2B196" w14:textId="77777777" w:rsidR="00AF3157" w:rsidRDefault="00AF3157" w:rsidP="00E0716D">
      <w:pPr>
        <w:jc w:val="center"/>
      </w:pPr>
    </w:p>
    <w:p w14:paraId="0CFC2779" w14:textId="267AB865" w:rsidR="00325004" w:rsidRPr="000774DC" w:rsidRDefault="001F3713" w:rsidP="00E0716D">
      <w:pPr>
        <w:jc w:val="both"/>
      </w:pPr>
      <w:r w:rsidRPr="000774DC">
        <w:t xml:space="preserve">The glassy carbon electrode (GCE) is a primary substrate in the design of electrocatalytic platforms. Despite its widespread use, the physicochemical dynamics of its electrical double layer at high anodic overpotentials (&gt; 1.0 V vs. Ag/AgCl) remain a subject of mechanistic controversy. Recently, several reports in the literature have attributed the appearance of </w:t>
      </w:r>
      <w:r w:rsidR="001D1B3D">
        <w:t>progressive current growth upon successive potential cycling</w:t>
      </w:r>
      <w:r w:rsidRPr="000774DC">
        <w:t xml:space="preserve">—characterized by anodic signals at ~1.5 V and cathodic signals in the range of -0.5 V to -1.0 V—to the purported electropolymerization of non-electroactive organic molecules, such as </w:t>
      </w:r>
      <w:r w:rsidRPr="000A47F0">
        <w:rPr>
          <w:i/>
          <w:iCs/>
        </w:rPr>
        <w:t>β</w:t>
      </w:r>
      <w:r w:rsidRPr="000774DC">
        <w:t>-cyclodextrin</w:t>
      </w:r>
      <w:r w:rsidR="00FF4657">
        <w:t xml:space="preserve"> (</w:t>
      </w:r>
      <w:r w:rsidR="00FF4657" w:rsidRPr="000A47F0">
        <w:rPr>
          <w:i/>
          <w:iCs/>
        </w:rPr>
        <w:t>β</w:t>
      </w:r>
      <w:r w:rsidR="00FF4657">
        <w:rPr>
          <w:i/>
          <w:iCs/>
        </w:rPr>
        <w:t>-</w:t>
      </w:r>
      <w:r w:rsidR="00FF4657" w:rsidRPr="00FF4657">
        <w:t>CD)</w:t>
      </w:r>
      <w:r w:rsidR="00766E81">
        <w:t xml:space="preserve"> in PBS </w:t>
      </w:r>
      <w:r w:rsidR="00F279D0">
        <w:t>0.05 mol L</w:t>
      </w:r>
      <w:r w:rsidR="00F279D0" w:rsidRPr="00F279D0">
        <w:rPr>
          <w:vertAlign w:val="superscript"/>
        </w:rPr>
        <w:t>-1</w:t>
      </w:r>
      <w:r w:rsidR="00E9758F">
        <w:t xml:space="preserve"> (pH </w:t>
      </w:r>
      <w:r w:rsidR="007D4B4B">
        <w:t xml:space="preserve">= 5.0) [1]. </w:t>
      </w:r>
    </w:p>
    <w:p w14:paraId="7D021080" w14:textId="77777777" w:rsidR="00325004" w:rsidRPr="000774DC" w:rsidRDefault="00325004" w:rsidP="00E0716D">
      <w:pPr>
        <w:jc w:val="both"/>
      </w:pPr>
    </w:p>
    <w:p w14:paraId="3FB694F8" w14:textId="17A890EB" w:rsidR="00E56BFB" w:rsidRPr="007D2228" w:rsidRDefault="000774DC" w:rsidP="0097408C">
      <w:pPr>
        <w:jc w:val="both"/>
        <w:rPr>
          <w:i/>
          <w:iCs/>
        </w:rPr>
      </w:pPr>
      <w:r w:rsidRPr="000774DC">
        <w:t>In the present work, this paradigm is critically re-evaluated through the continuous electrochemical monitoring of the GCE/electrolyte interface. Using cyclic voltammetry (CV) and chronoamperometry (CA), the substrate's response was characterized in strictly oxyanionic aqueous media (perchloric acid</w:t>
      </w:r>
      <w:r w:rsidR="005C7BB8">
        <w:t xml:space="preserve"> in different concentrations</w:t>
      </w:r>
      <w:r w:rsidRPr="000774DC">
        <w:t xml:space="preserve">), contrasting the system against a rigorous blank. The results conclusively demonstrate that the voltammetric footprint of the pseudo-polymeric conductive phase development occurs intrinsically on the bare carbon surface, in the total absence of </w:t>
      </w:r>
      <w:r w:rsidRPr="000A47F0">
        <w:rPr>
          <w:i/>
          <w:iCs/>
        </w:rPr>
        <w:t>β</w:t>
      </w:r>
      <w:r w:rsidRPr="000774DC">
        <w:t>-cyclodextrin or any other organic monomer</w:t>
      </w:r>
      <w:r w:rsidRPr="009C69AC">
        <w:t xml:space="preserve">. </w:t>
      </w:r>
      <w:r w:rsidR="009C69AC" w:rsidRPr="009C69AC">
        <w:t>Furthermore, the profile of the chronoamperometric transients indicates a kinetic mechanism of three-dimensional nucleation and growth of new phases, highly dependent on the oxyanion medium, which will be further corroborated through dimensionless mathematical modeling.</w:t>
      </w:r>
      <w:r w:rsidR="009A0C05">
        <w:t xml:space="preserve"> </w:t>
      </w:r>
      <w:r w:rsidRPr="000774DC">
        <w:t xml:space="preserve">The findings of this work highlight the imperative need to re-evaluate and deeply study the thermodynamic and kinetic phenomena at the native interface before attributing the growth of new phases to species in solution. To consolidate a comprehensive mechanistic framework, complementary surface characterization studies using scanning electron microscopy (SEM) and X-ray photoelectron spectroscopy (XPS) are currently underway. </w:t>
      </w:r>
      <w:r w:rsidR="0097408C" w:rsidRPr="0097408C">
        <w:t>Ultimately, a precise understanding of these electrical double-layer phenomena is paramount not only for interfacial monitoring, but for optimizing charge transfer mechanisms and tailoring next-generation energy storage systems, such as redox flow batteries and pseudocapacitive devices.</w:t>
      </w:r>
    </w:p>
    <w:p w14:paraId="6B25BCED" w14:textId="4C9CA35A" w:rsidR="0016288A" w:rsidRDefault="00016E8A" w:rsidP="00016E8A">
      <w:pPr>
        <w:jc w:val="center"/>
      </w:pPr>
      <w:r>
        <w:rPr>
          <w:noProof/>
        </w:rPr>
        <w:drawing>
          <wp:inline distT="0" distB="0" distL="0" distR="0" wp14:anchorId="31EDFCA4" wp14:editId="2CEA828F">
            <wp:extent cx="2983916" cy="1669473"/>
            <wp:effectExtent l="0" t="0" r="6985" b="6985"/>
            <wp:docPr id="129543586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491" cy="1702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58A757" w14:textId="26EF332D" w:rsidR="0016288A" w:rsidRDefault="0016288A" w:rsidP="00E0716D">
      <w:pPr>
        <w:jc w:val="both"/>
      </w:pPr>
    </w:p>
    <w:p w14:paraId="3C0DEC21" w14:textId="1CB8D294" w:rsidR="003B1D35" w:rsidRPr="00222DA4" w:rsidRDefault="00222DA4" w:rsidP="00E0716D">
      <w:pPr>
        <w:jc w:val="both"/>
        <w:rPr>
          <w:sz w:val="18"/>
          <w:szCs w:val="18"/>
        </w:rPr>
      </w:pPr>
      <w:r w:rsidRPr="00222DA4">
        <w:rPr>
          <w:b/>
          <w:bCs/>
          <w:sz w:val="18"/>
          <w:szCs w:val="18"/>
        </w:rPr>
        <w:t>F</w:t>
      </w:r>
      <w:r w:rsidR="003B1D35" w:rsidRPr="00222DA4">
        <w:rPr>
          <w:b/>
          <w:bCs/>
          <w:sz w:val="18"/>
          <w:szCs w:val="18"/>
        </w:rPr>
        <w:t>igure 1.</w:t>
      </w:r>
      <w:r w:rsidR="003B1D35" w:rsidRPr="00222DA4">
        <w:rPr>
          <w:sz w:val="18"/>
          <w:szCs w:val="18"/>
        </w:rPr>
        <w:t xml:space="preserve"> </w:t>
      </w:r>
      <w:r w:rsidR="00DE0EB8" w:rsidRPr="00222DA4">
        <w:rPr>
          <w:sz w:val="18"/>
          <w:szCs w:val="18"/>
        </w:rPr>
        <w:t>(a)</w:t>
      </w:r>
      <w:r w:rsidR="00696B08" w:rsidRPr="00222DA4">
        <w:rPr>
          <w:sz w:val="18"/>
          <w:szCs w:val="18"/>
        </w:rPr>
        <w:t xml:space="preserve"> </w:t>
      </w:r>
      <w:r w:rsidR="00667AD3">
        <w:rPr>
          <w:sz w:val="18"/>
          <w:szCs w:val="18"/>
        </w:rPr>
        <w:t>Voltammetric</w:t>
      </w:r>
      <w:r w:rsidR="00AE0715" w:rsidRPr="00222DA4">
        <w:rPr>
          <w:sz w:val="18"/>
          <w:szCs w:val="18"/>
        </w:rPr>
        <w:t xml:space="preserve"> profile</w:t>
      </w:r>
      <w:r w:rsidR="0027794A">
        <w:rPr>
          <w:sz w:val="18"/>
          <w:szCs w:val="18"/>
        </w:rPr>
        <w:t>s</w:t>
      </w:r>
      <w:r w:rsidR="00AE0715" w:rsidRPr="00222DA4">
        <w:rPr>
          <w:sz w:val="18"/>
          <w:szCs w:val="18"/>
        </w:rPr>
        <w:t xml:space="preserve"> of 0.01 M</w:t>
      </w:r>
      <w:r w:rsidR="0027794A">
        <w:rPr>
          <w:sz w:val="18"/>
          <w:szCs w:val="18"/>
        </w:rPr>
        <w:t xml:space="preserve"> </w:t>
      </w:r>
      <w:r w:rsidR="0027794A" w:rsidRPr="00222DA4">
        <w:rPr>
          <w:sz w:val="18"/>
          <w:szCs w:val="18"/>
        </w:rPr>
        <w:t>PBS</w:t>
      </w:r>
      <w:r w:rsidR="00377EEC" w:rsidRPr="00222DA4">
        <w:rPr>
          <w:sz w:val="18"/>
          <w:szCs w:val="18"/>
        </w:rPr>
        <w:t>,</w:t>
      </w:r>
      <w:r w:rsidR="00AE0715" w:rsidRPr="00222DA4">
        <w:rPr>
          <w:sz w:val="18"/>
          <w:szCs w:val="18"/>
        </w:rPr>
        <w:t xml:space="preserve"> </w:t>
      </w:r>
      <w:r w:rsidR="006B381F" w:rsidRPr="00222DA4">
        <w:rPr>
          <w:sz w:val="18"/>
          <w:szCs w:val="18"/>
        </w:rPr>
        <w:t xml:space="preserve">pH = 7 </w:t>
      </w:r>
      <w:r w:rsidR="00AE0715" w:rsidRPr="00222DA4">
        <w:rPr>
          <w:sz w:val="18"/>
          <w:szCs w:val="18"/>
        </w:rPr>
        <w:t xml:space="preserve">(blue lines) and </w:t>
      </w:r>
      <w:r w:rsidR="00F23A50" w:rsidRPr="00222DA4">
        <w:rPr>
          <w:sz w:val="18"/>
          <w:szCs w:val="18"/>
        </w:rPr>
        <w:t>0.01 M</w:t>
      </w:r>
      <w:r w:rsidR="0027794A">
        <w:rPr>
          <w:sz w:val="18"/>
          <w:szCs w:val="18"/>
        </w:rPr>
        <w:t xml:space="preserve"> </w:t>
      </w:r>
      <w:r w:rsidR="0027794A" w:rsidRPr="00222DA4">
        <w:rPr>
          <w:sz w:val="18"/>
          <w:szCs w:val="18"/>
        </w:rPr>
        <w:t>PBS</w:t>
      </w:r>
      <w:r w:rsidR="00F23A50" w:rsidRPr="00222DA4">
        <w:rPr>
          <w:sz w:val="18"/>
          <w:szCs w:val="18"/>
        </w:rPr>
        <w:t xml:space="preserve"> </w:t>
      </w:r>
      <w:r w:rsidR="0027794A">
        <w:rPr>
          <w:sz w:val="18"/>
          <w:szCs w:val="18"/>
        </w:rPr>
        <w:t>+</w:t>
      </w:r>
      <w:r w:rsidR="00F23A50" w:rsidRPr="00222DA4">
        <w:rPr>
          <w:sz w:val="18"/>
          <w:szCs w:val="18"/>
        </w:rPr>
        <w:t xml:space="preserve"> </w:t>
      </w:r>
      <w:r w:rsidR="0027794A" w:rsidRPr="00222DA4">
        <w:rPr>
          <w:sz w:val="18"/>
          <w:szCs w:val="18"/>
        </w:rPr>
        <w:t>6 mM</w:t>
      </w:r>
      <w:r w:rsidR="0027794A" w:rsidRPr="00222DA4">
        <w:rPr>
          <w:i/>
          <w:iCs/>
          <w:sz w:val="18"/>
          <w:szCs w:val="18"/>
        </w:rPr>
        <w:t xml:space="preserve"> </w:t>
      </w:r>
      <w:r w:rsidR="00F23A50" w:rsidRPr="00222DA4">
        <w:rPr>
          <w:i/>
          <w:iCs/>
          <w:sz w:val="18"/>
          <w:szCs w:val="18"/>
        </w:rPr>
        <w:t>β</w:t>
      </w:r>
      <w:r w:rsidR="00F23A50" w:rsidRPr="00222DA4">
        <w:rPr>
          <w:sz w:val="18"/>
          <w:szCs w:val="18"/>
        </w:rPr>
        <w:t>-CD</w:t>
      </w:r>
      <w:r w:rsidR="00377EEC" w:rsidRPr="00222DA4">
        <w:rPr>
          <w:sz w:val="18"/>
          <w:szCs w:val="18"/>
        </w:rPr>
        <w:t>,</w:t>
      </w:r>
      <w:r w:rsidR="00DE0EB8" w:rsidRPr="00222DA4">
        <w:rPr>
          <w:sz w:val="18"/>
          <w:szCs w:val="18"/>
        </w:rPr>
        <w:t xml:space="preserve"> </w:t>
      </w:r>
      <w:r w:rsidR="006B381F" w:rsidRPr="00222DA4">
        <w:rPr>
          <w:sz w:val="18"/>
          <w:szCs w:val="18"/>
        </w:rPr>
        <w:t>pH = 7 (red lines)</w:t>
      </w:r>
      <w:r w:rsidR="00DE0EB8" w:rsidRPr="00222DA4">
        <w:rPr>
          <w:sz w:val="18"/>
          <w:szCs w:val="18"/>
        </w:rPr>
        <w:t>, (b)</w:t>
      </w:r>
      <w:r w:rsidR="006B381F" w:rsidRPr="00222DA4">
        <w:rPr>
          <w:sz w:val="18"/>
          <w:szCs w:val="18"/>
        </w:rPr>
        <w:t xml:space="preserve"> </w:t>
      </w:r>
      <w:r w:rsidR="00667AD3">
        <w:rPr>
          <w:sz w:val="18"/>
          <w:szCs w:val="18"/>
        </w:rPr>
        <w:t>Voltammetric</w:t>
      </w:r>
      <w:r w:rsidR="006B381F" w:rsidRPr="00222DA4">
        <w:rPr>
          <w:sz w:val="18"/>
          <w:szCs w:val="18"/>
        </w:rPr>
        <w:t xml:space="preserve"> profile</w:t>
      </w:r>
      <w:r w:rsidR="0027794A">
        <w:rPr>
          <w:sz w:val="18"/>
          <w:szCs w:val="18"/>
        </w:rPr>
        <w:t>s</w:t>
      </w:r>
      <w:r w:rsidR="006B381F" w:rsidRPr="00222DA4">
        <w:rPr>
          <w:sz w:val="18"/>
          <w:szCs w:val="18"/>
        </w:rPr>
        <w:t xml:space="preserve"> of 0.</w:t>
      </w:r>
      <w:r w:rsidR="00377EEC" w:rsidRPr="00222DA4">
        <w:rPr>
          <w:sz w:val="18"/>
          <w:szCs w:val="18"/>
        </w:rPr>
        <w:t>1</w:t>
      </w:r>
      <w:r w:rsidR="006B381F" w:rsidRPr="00222DA4">
        <w:rPr>
          <w:sz w:val="18"/>
          <w:szCs w:val="18"/>
        </w:rPr>
        <w:t xml:space="preserve"> M</w:t>
      </w:r>
      <w:r w:rsidR="0027794A">
        <w:rPr>
          <w:sz w:val="18"/>
          <w:szCs w:val="18"/>
        </w:rPr>
        <w:t xml:space="preserve"> </w:t>
      </w:r>
      <w:r w:rsidR="0027794A" w:rsidRPr="00222DA4">
        <w:rPr>
          <w:sz w:val="18"/>
          <w:szCs w:val="18"/>
        </w:rPr>
        <w:t>HClO</w:t>
      </w:r>
      <w:r w:rsidR="0027794A" w:rsidRPr="00222DA4">
        <w:rPr>
          <w:sz w:val="18"/>
          <w:szCs w:val="18"/>
          <w:vertAlign w:val="subscript"/>
        </w:rPr>
        <w:t>4</w:t>
      </w:r>
      <w:r w:rsidR="00377EEC" w:rsidRPr="00222DA4">
        <w:rPr>
          <w:sz w:val="18"/>
          <w:szCs w:val="18"/>
        </w:rPr>
        <w:t>,</w:t>
      </w:r>
      <w:r w:rsidR="006B381F" w:rsidRPr="00222DA4">
        <w:rPr>
          <w:sz w:val="18"/>
          <w:szCs w:val="18"/>
        </w:rPr>
        <w:t xml:space="preserve"> </w:t>
      </w:r>
      <w:r w:rsidR="00377EEC" w:rsidRPr="00222DA4">
        <w:rPr>
          <w:sz w:val="18"/>
          <w:szCs w:val="18"/>
        </w:rPr>
        <w:t>pH = 2</w:t>
      </w:r>
      <w:r w:rsidR="006B381F" w:rsidRPr="00222DA4">
        <w:rPr>
          <w:sz w:val="18"/>
          <w:szCs w:val="18"/>
        </w:rPr>
        <w:t xml:space="preserve"> (</w:t>
      </w:r>
      <w:r w:rsidR="00C61F96" w:rsidRPr="00222DA4">
        <w:rPr>
          <w:sz w:val="18"/>
          <w:szCs w:val="18"/>
        </w:rPr>
        <w:t>green</w:t>
      </w:r>
      <w:r w:rsidR="006B381F" w:rsidRPr="00222DA4">
        <w:rPr>
          <w:sz w:val="18"/>
          <w:szCs w:val="18"/>
        </w:rPr>
        <w:t xml:space="preserve"> lines) and 0.1 M</w:t>
      </w:r>
      <w:r w:rsidR="0027794A">
        <w:rPr>
          <w:sz w:val="18"/>
          <w:szCs w:val="18"/>
        </w:rPr>
        <w:t xml:space="preserve"> </w:t>
      </w:r>
      <w:r w:rsidR="0027794A" w:rsidRPr="00222DA4">
        <w:rPr>
          <w:sz w:val="18"/>
          <w:szCs w:val="18"/>
        </w:rPr>
        <w:t>HClO</w:t>
      </w:r>
      <w:r w:rsidR="0027794A" w:rsidRPr="00222DA4">
        <w:rPr>
          <w:sz w:val="18"/>
          <w:szCs w:val="18"/>
          <w:vertAlign w:val="subscript"/>
        </w:rPr>
        <w:t>4</w:t>
      </w:r>
      <w:r w:rsidR="006B381F" w:rsidRPr="00222DA4">
        <w:rPr>
          <w:sz w:val="18"/>
          <w:szCs w:val="18"/>
        </w:rPr>
        <w:t xml:space="preserve"> </w:t>
      </w:r>
      <w:r w:rsidR="0027794A">
        <w:rPr>
          <w:sz w:val="18"/>
          <w:szCs w:val="18"/>
        </w:rPr>
        <w:t>+</w:t>
      </w:r>
      <w:r w:rsidR="006B381F" w:rsidRPr="00222DA4">
        <w:rPr>
          <w:sz w:val="18"/>
          <w:szCs w:val="18"/>
        </w:rPr>
        <w:t xml:space="preserve"> 6 mM</w:t>
      </w:r>
      <w:r w:rsidR="0027794A">
        <w:rPr>
          <w:sz w:val="18"/>
          <w:szCs w:val="18"/>
        </w:rPr>
        <w:t xml:space="preserve"> </w:t>
      </w:r>
      <w:r w:rsidR="0027794A" w:rsidRPr="00222DA4">
        <w:rPr>
          <w:i/>
          <w:iCs/>
          <w:sz w:val="18"/>
          <w:szCs w:val="18"/>
        </w:rPr>
        <w:t>β</w:t>
      </w:r>
      <w:r w:rsidR="0027794A" w:rsidRPr="00222DA4">
        <w:rPr>
          <w:sz w:val="18"/>
          <w:szCs w:val="18"/>
        </w:rPr>
        <w:t>-CD</w:t>
      </w:r>
      <w:r w:rsidR="00377EEC" w:rsidRPr="00222DA4">
        <w:rPr>
          <w:sz w:val="18"/>
          <w:szCs w:val="18"/>
        </w:rPr>
        <w:t>, pH = 2</w:t>
      </w:r>
      <w:r w:rsidR="006B381F" w:rsidRPr="00222DA4">
        <w:rPr>
          <w:sz w:val="18"/>
          <w:szCs w:val="18"/>
        </w:rPr>
        <w:t xml:space="preserve"> (red lines)</w:t>
      </w:r>
      <w:r w:rsidR="00B06CEA" w:rsidRPr="00222DA4">
        <w:rPr>
          <w:sz w:val="18"/>
          <w:szCs w:val="18"/>
        </w:rPr>
        <w:t xml:space="preserve">. (c), (d) </w:t>
      </w:r>
      <w:r w:rsidR="00695A92">
        <w:rPr>
          <w:sz w:val="18"/>
          <w:szCs w:val="18"/>
        </w:rPr>
        <w:t>and</w:t>
      </w:r>
      <w:r w:rsidR="00B06CEA" w:rsidRPr="00222DA4">
        <w:rPr>
          <w:sz w:val="18"/>
          <w:szCs w:val="18"/>
        </w:rPr>
        <w:t xml:space="preserve"> (e) correspond to </w:t>
      </w:r>
      <w:r w:rsidR="000502E9">
        <w:rPr>
          <w:sz w:val="18"/>
          <w:szCs w:val="18"/>
        </w:rPr>
        <w:t>chronoamperometric</w:t>
      </w:r>
      <w:r w:rsidR="00B06CEA" w:rsidRPr="00222DA4">
        <w:rPr>
          <w:sz w:val="18"/>
          <w:szCs w:val="18"/>
        </w:rPr>
        <w:t xml:space="preserve"> </w:t>
      </w:r>
      <w:r w:rsidR="000502E9">
        <w:rPr>
          <w:sz w:val="18"/>
          <w:szCs w:val="18"/>
        </w:rPr>
        <w:t>transients</w:t>
      </w:r>
      <w:r w:rsidR="00B06CEA" w:rsidRPr="00222DA4">
        <w:rPr>
          <w:sz w:val="18"/>
          <w:szCs w:val="18"/>
        </w:rPr>
        <w:t xml:space="preserve"> </w:t>
      </w:r>
      <w:r w:rsidR="002529DE">
        <w:rPr>
          <w:sz w:val="18"/>
          <w:szCs w:val="18"/>
        </w:rPr>
        <w:t>in</w:t>
      </w:r>
      <w:r w:rsidR="00F10605" w:rsidRPr="00222DA4">
        <w:rPr>
          <w:sz w:val="18"/>
          <w:szCs w:val="18"/>
        </w:rPr>
        <w:t xml:space="preserve"> </w:t>
      </w:r>
      <w:r w:rsidR="00F10605" w:rsidRPr="00222DA4">
        <w:rPr>
          <w:sz w:val="18"/>
          <w:szCs w:val="18"/>
        </w:rPr>
        <w:t>0.1 M</w:t>
      </w:r>
      <w:r w:rsidR="002529DE">
        <w:rPr>
          <w:sz w:val="18"/>
          <w:szCs w:val="18"/>
        </w:rPr>
        <w:t xml:space="preserve"> </w:t>
      </w:r>
      <w:r w:rsidR="002529DE" w:rsidRPr="00222DA4">
        <w:rPr>
          <w:sz w:val="18"/>
          <w:szCs w:val="18"/>
        </w:rPr>
        <w:t>HClO</w:t>
      </w:r>
      <w:r w:rsidR="002529DE" w:rsidRPr="00222DA4">
        <w:rPr>
          <w:sz w:val="18"/>
          <w:szCs w:val="18"/>
          <w:vertAlign w:val="subscript"/>
        </w:rPr>
        <w:t>4</w:t>
      </w:r>
      <w:r w:rsidR="00F10605" w:rsidRPr="00222DA4">
        <w:rPr>
          <w:sz w:val="18"/>
          <w:szCs w:val="18"/>
        </w:rPr>
        <w:t>, pH = 2 (</w:t>
      </w:r>
      <w:r w:rsidR="00F10605" w:rsidRPr="00222DA4">
        <w:rPr>
          <w:sz w:val="18"/>
          <w:szCs w:val="18"/>
        </w:rPr>
        <w:t>blue</w:t>
      </w:r>
      <w:r w:rsidR="00F10605" w:rsidRPr="00222DA4">
        <w:rPr>
          <w:sz w:val="18"/>
          <w:szCs w:val="18"/>
        </w:rPr>
        <w:t xml:space="preserve"> lines) and 0.1 M</w:t>
      </w:r>
      <w:r w:rsidR="002529DE">
        <w:rPr>
          <w:sz w:val="18"/>
          <w:szCs w:val="18"/>
        </w:rPr>
        <w:t xml:space="preserve"> </w:t>
      </w:r>
      <w:r w:rsidR="002529DE" w:rsidRPr="00222DA4">
        <w:rPr>
          <w:sz w:val="18"/>
          <w:szCs w:val="18"/>
        </w:rPr>
        <w:t>HClO</w:t>
      </w:r>
      <w:r w:rsidR="002529DE" w:rsidRPr="00222DA4">
        <w:rPr>
          <w:sz w:val="18"/>
          <w:szCs w:val="18"/>
          <w:vertAlign w:val="subscript"/>
        </w:rPr>
        <w:t>4</w:t>
      </w:r>
      <w:r w:rsidR="00F10605" w:rsidRPr="00222DA4">
        <w:rPr>
          <w:sz w:val="18"/>
          <w:szCs w:val="18"/>
        </w:rPr>
        <w:t xml:space="preserve"> </w:t>
      </w:r>
      <w:r w:rsidR="002529DE">
        <w:rPr>
          <w:sz w:val="18"/>
          <w:szCs w:val="18"/>
        </w:rPr>
        <w:t>+</w:t>
      </w:r>
      <w:r w:rsidR="00F10605" w:rsidRPr="00222DA4">
        <w:rPr>
          <w:sz w:val="18"/>
          <w:szCs w:val="18"/>
        </w:rPr>
        <w:t xml:space="preserve"> 6 mM</w:t>
      </w:r>
      <w:r w:rsidR="002529DE">
        <w:rPr>
          <w:sz w:val="18"/>
          <w:szCs w:val="18"/>
        </w:rPr>
        <w:t xml:space="preserve"> </w:t>
      </w:r>
      <w:r w:rsidR="002529DE" w:rsidRPr="00222DA4">
        <w:rPr>
          <w:i/>
          <w:iCs/>
          <w:sz w:val="18"/>
          <w:szCs w:val="18"/>
        </w:rPr>
        <w:t>β</w:t>
      </w:r>
      <w:r w:rsidR="002529DE" w:rsidRPr="00222DA4">
        <w:rPr>
          <w:sz w:val="18"/>
          <w:szCs w:val="18"/>
        </w:rPr>
        <w:t>-CD</w:t>
      </w:r>
      <w:r w:rsidR="00F10605" w:rsidRPr="00222DA4">
        <w:rPr>
          <w:sz w:val="18"/>
          <w:szCs w:val="18"/>
        </w:rPr>
        <w:t xml:space="preserve">, pH = 2 (red </w:t>
      </w:r>
      <w:r w:rsidR="007D6044" w:rsidRPr="00222DA4">
        <w:rPr>
          <w:sz w:val="18"/>
          <w:szCs w:val="18"/>
        </w:rPr>
        <w:t>markers</w:t>
      </w:r>
      <w:r w:rsidR="00F10605" w:rsidRPr="00222DA4">
        <w:rPr>
          <w:sz w:val="18"/>
          <w:szCs w:val="18"/>
        </w:rPr>
        <w:t>)</w:t>
      </w:r>
      <w:r w:rsidR="007D6044" w:rsidRPr="00222DA4">
        <w:rPr>
          <w:sz w:val="18"/>
          <w:szCs w:val="18"/>
        </w:rPr>
        <w:t xml:space="preserve"> at 1.75 V, 1.80 V and 1.85 V</w:t>
      </w:r>
      <w:r w:rsidR="00EE5142">
        <w:rPr>
          <w:sz w:val="18"/>
          <w:szCs w:val="18"/>
        </w:rPr>
        <w:t>,</w:t>
      </w:r>
      <w:r w:rsidR="007D6044" w:rsidRPr="00222DA4">
        <w:rPr>
          <w:sz w:val="18"/>
          <w:szCs w:val="18"/>
        </w:rPr>
        <w:t xml:space="preserve"> respectively</w:t>
      </w:r>
      <w:r w:rsidRPr="00222DA4">
        <w:rPr>
          <w:sz w:val="18"/>
          <w:szCs w:val="18"/>
        </w:rPr>
        <w:t>.</w:t>
      </w:r>
    </w:p>
    <w:p w14:paraId="4FC4735E" w14:textId="77777777" w:rsidR="0016288A" w:rsidRDefault="0016288A" w:rsidP="00E0716D">
      <w:pPr>
        <w:jc w:val="both"/>
      </w:pPr>
    </w:p>
    <w:p w14:paraId="3D2F5FFB" w14:textId="3D798DD4" w:rsidR="0016288A" w:rsidRPr="009C69AC" w:rsidRDefault="0016288A" w:rsidP="00E0716D">
      <w:pPr>
        <w:jc w:val="both"/>
        <w:rPr>
          <w:sz w:val="18"/>
          <w:szCs w:val="18"/>
        </w:rPr>
      </w:pPr>
      <w:r w:rsidRPr="009C69AC">
        <w:rPr>
          <w:sz w:val="18"/>
          <w:szCs w:val="18"/>
        </w:rPr>
        <w:t xml:space="preserve">[1] </w:t>
      </w:r>
      <w:r w:rsidRPr="009C69AC">
        <w:rPr>
          <w:sz w:val="18"/>
          <w:szCs w:val="18"/>
        </w:rPr>
        <w:t>Pereira, A.C., Oliveira, A.E.F. &amp; Bettio, G.B. β-Cyclodextrin electropolymerization: mechanism, electrochemical behavior, and optimization. </w:t>
      </w:r>
      <w:r w:rsidRPr="009C69AC">
        <w:rPr>
          <w:i/>
          <w:iCs/>
          <w:sz w:val="18"/>
          <w:szCs w:val="18"/>
        </w:rPr>
        <w:t>Chem.</w:t>
      </w:r>
      <w:r w:rsidRPr="009C69AC">
        <w:rPr>
          <w:i/>
          <w:iCs/>
          <w:sz w:val="18"/>
          <w:szCs w:val="18"/>
        </w:rPr>
        <w:t xml:space="preserve"> </w:t>
      </w:r>
      <w:r w:rsidRPr="009C69AC">
        <w:rPr>
          <w:i/>
          <w:iCs/>
          <w:sz w:val="18"/>
          <w:szCs w:val="18"/>
        </w:rPr>
        <w:t>Pap.</w:t>
      </w:r>
      <w:r w:rsidRPr="009C69AC">
        <w:rPr>
          <w:sz w:val="18"/>
          <w:szCs w:val="18"/>
        </w:rPr>
        <w:t> </w:t>
      </w:r>
      <w:r w:rsidRPr="009C69AC">
        <w:rPr>
          <w:b/>
          <w:bCs/>
          <w:sz w:val="18"/>
          <w:szCs w:val="18"/>
        </w:rPr>
        <w:t>73</w:t>
      </w:r>
      <w:r w:rsidRPr="009C69AC">
        <w:rPr>
          <w:sz w:val="18"/>
          <w:szCs w:val="18"/>
        </w:rPr>
        <w:t>, 1795–1804 (2019). https://doi.org/10.1007/s11696-019-00732-x</w:t>
      </w:r>
    </w:p>
    <w:sectPr w:rsidR="0016288A" w:rsidRPr="009C69AC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16E8A"/>
    <w:rsid w:val="00041EFD"/>
    <w:rsid w:val="000502E9"/>
    <w:rsid w:val="000774DC"/>
    <w:rsid w:val="000A47F0"/>
    <w:rsid w:val="0016288A"/>
    <w:rsid w:val="001D1B3D"/>
    <w:rsid w:val="001F3713"/>
    <w:rsid w:val="00222DA4"/>
    <w:rsid w:val="00250569"/>
    <w:rsid w:val="002529DE"/>
    <w:rsid w:val="0027794A"/>
    <w:rsid w:val="002A0FAE"/>
    <w:rsid w:val="00325004"/>
    <w:rsid w:val="0037347B"/>
    <w:rsid w:val="00377EEC"/>
    <w:rsid w:val="003B1D35"/>
    <w:rsid w:val="003E4D67"/>
    <w:rsid w:val="005222C8"/>
    <w:rsid w:val="00536366"/>
    <w:rsid w:val="005C7BB8"/>
    <w:rsid w:val="00611C63"/>
    <w:rsid w:val="00667AD3"/>
    <w:rsid w:val="00685C1A"/>
    <w:rsid w:val="00695A92"/>
    <w:rsid w:val="00696B08"/>
    <w:rsid w:val="006B381F"/>
    <w:rsid w:val="007560DC"/>
    <w:rsid w:val="00766E81"/>
    <w:rsid w:val="007A2545"/>
    <w:rsid w:val="007D2228"/>
    <w:rsid w:val="007D4B4B"/>
    <w:rsid w:val="007D6044"/>
    <w:rsid w:val="0088533F"/>
    <w:rsid w:val="0097408C"/>
    <w:rsid w:val="009A0C05"/>
    <w:rsid w:val="009B5775"/>
    <w:rsid w:val="009C69AC"/>
    <w:rsid w:val="009F1307"/>
    <w:rsid w:val="00A80C30"/>
    <w:rsid w:val="00AE0715"/>
    <w:rsid w:val="00AF3157"/>
    <w:rsid w:val="00B06CEA"/>
    <w:rsid w:val="00C61F96"/>
    <w:rsid w:val="00CF07FC"/>
    <w:rsid w:val="00DE0EB8"/>
    <w:rsid w:val="00E0716D"/>
    <w:rsid w:val="00E56BFB"/>
    <w:rsid w:val="00E63A8E"/>
    <w:rsid w:val="00E9758F"/>
    <w:rsid w:val="00EE5142"/>
    <w:rsid w:val="00F10605"/>
    <w:rsid w:val="00F23A50"/>
    <w:rsid w:val="00F279D0"/>
    <w:rsid w:val="00F97641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C459E7"/>
  <w14:defaultImageDpi w14:val="300"/>
  <w15:docId w15:val="{C7992507-E7B1-42F2-AFC4-2E392DD25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semiHidden/>
    <w:rsid w:val="00E56BFB"/>
    <w:pPr>
      <w:jc w:val="both"/>
    </w:pPr>
    <w:rPr>
      <w:snapToGrid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E56BFB"/>
  </w:style>
  <w:style w:type="paragraph" w:customStyle="1" w:styleId="affiliation">
    <w:name w:val="affiliation"/>
    <w:basedOn w:val="Normal"/>
    <w:rsid w:val="00E56BFB"/>
    <w:pPr>
      <w:widowControl/>
      <w:jc w:val="center"/>
    </w:pPr>
    <w:rPr>
      <w:snapToGrid/>
      <w:sz w:val="2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546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Revisor</cp:lastModifiedBy>
  <cp:revision>52</cp:revision>
  <cp:lastPrinted>2013-10-21T12:07:00Z</cp:lastPrinted>
  <dcterms:created xsi:type="dcterms:W3CDTF">2026-06-01T15:40:00Z</dcterms:created>
  <dcterms:modified xsi:type="dcterms:W3CDTF">2026-06-01T18:09:00Z</dcterms:modified>
</cp:coreProperties>
</file>