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7FB82" w14:textId="70C75977" w:rsidR="00325004" w:rsidRPr="00A86EB9" w:rsidRDefault="005136AB" w:rsidP="005136AB">
      <w:pPr>
        <w:jc w:val="center"/>
        <w:rPr>
          <w:b/>
          <w:sz w:val="28"/>
        </w:rPr>
      </w:pPr>
      <w:r w:rsidRPr="005136AB">
        <w:rPr>
          <w:b/>
          <w:sz w:val="28"/>
        </w:rPr>
        <w:t>Sustainable 3D-Printed Buriti Oil–Plasticized Carbon Black/PLA Electrochemical Sensor for L-Tyrosine Detection</w:t>
      </w:r>
    </w:p>
    <w:p w14:paraId="12B868A5" w14:textId="77777777" w:rsidR="00325004" w:rsidRPr="00A86EB9" w:rsidRDefault="00325004" w:rsidP="00C72052">
      <w:pPr>
        <w:jc w:val="center"/>
        <w:rPr>
          <w:b/>
          <w:sz w:val="28"/>
        </w:rPr>
      </w:pPr>
    </w:p>
    <w:p w14:paraId="4793412E" w14:textId="3D89616B" w:rsidR="00325004" w:rsidRPr="001F6969" w:rsidRDefault="00EF26EE" w:rsidP="005136AB">
      <w:pPr>
        <w:jc w:val="center"/>
      </w:pPr>
      <w:r>
        <w:rPr>
          <w:u w:val="single"/>
        </w:rPr>
        <w:t>Gilvana P. Siqueira</w:t>
      </w:r>
      <w:r w:rsidR="003C0F2D">
        <w:rPr>
          <w:u w:val="single"/>
          <w:vertAlign w:val="superscript"/>
        </w:rPr>
        <w:t>1</w:t>
      </w:r>
      <w:r w:rsidR="001609DD" w:rsidRPr="001609DD">
        <w:rPr>
          <w:u w:val="single"/>
          <w:vertAlign w:val="superscript"/>
        </w:rPr>
        <w:t>,</w:t>
      </w:r>
      <w:r w:rsidR="003C0F2D">
        <w:rPr>
          <w:u w:val="single"/>
          <w:vertAlign w:val="superscript"/>
        </w:rPr>
        <w:t>3</w:t>
      </w:r>
      <w:r w:rsidR="00325004">
        <w:t>,</w:t>
      </w:r>
      <w:r w:rsidR="00F32144">
        <w:t xml:space="preserve"> </w:t>
      </w:r>
      <w:r w:rsidR="007B5909" w:rsidRPr="007B5909">
        <w:t>Agata Rodak</w:t>
      </w:r>
      <w:r w:rsidR="003C0F2D">
        <w:rPr>
          <w:vertAlign w:val="superscript"/>
        </w:rPr>
        <w:t>2</w:t>
      </w:r>
      <w:r w:rsidR="007B5909" w:rsidRPr="007B5909">
        <w:t>, Tomasz Swebocki</w:t>
      </w:r>
      <w:r w:rsidR="003C0F2D">
        <w:rPr>
          <w:vertAlign w:val="superscript"/>
        </w:rPr>
        <w:t>3</w:t>
      </w:r>
      <w:r w:rsidR="007B5909" w:rsidRPr="007B5909">
        <w:t>, Angelika Łepek</w:t>
      </w:r>
      <w:r w:rsidR="003C0F2D">
        <w:rPr>
          <w:vertAlign w:val="superscript"/>
        </w:rPr>
        <w:t>3</w:t>
      </w:r>
      <w:r w:rsidR="007B5909" w:rsidRPr="007B5909">
        <w:t>, Eduardo M. Richter</w:t>
      </w:r>
      <w:r w:rsidR="003C0F2D">
        <w:rPr>
          <w:vertAlign w:val="superscript"/>
        </w:rPr>
        <w:t>1</w:t>
      </w:r>
      <w:r w:rsidR="007B5909" w:rsidRPr="007B5909">
        <w:t>, Mateusz Cieślik</w:t>
      </w:r>
      <w:r w:rsidR="003C0F2D">
        <w:rPr>
          <w:vertAlign w:val="superscript"/>
        </w:rPr>
        <w:t>3</w:t>
      </w:r>
      <w:r w:rsidR="007B5909" w:rsidRPr="007B5909">
        <w:t>, Krzysztof Formela</w:t>
      </w:r>
      <w:r w:rsidR="003C0F2D">
        <w:rPr>
          <w:vertAlign w:val="superscript"/>
        </w:rPr>
        <w:t>2</w:t>
      </w:r>
      <w:r w:rsidR="007B5909" w:rsidRPr="007B5909">
        <w:t>, Rodrigo A. A. Muñoz</w:t>
      </w:r>
      <w:r w:rsidR="003C0F2D">
        <w:rPr>
          <w:vertAlign w:val="superscript"/>
        </w:rPr>
        <w:t>1</w:t>
      </w:r>
      <w:r w:rsidR="001F6969">
        <w:t xml:space="preserve">, </w:t>
      </w:r>
      <w:r w:rsidR="001F6969" w:rsidRPr="007B5909">
        <w:t>Jacek Ryl</w:t>
      </w:r>
      <w:r w:rsidR="003C0F2D">
        <w:rPr>
          <w:vertAlign w:val="superscript"/>
        </w:rPr>
        <w:t>3</w:t>
      </w:r>
    </w:p>
    <w:p w14:paraId="6EDB3F98" w14:textId="01335B92" w:rsidR="00865953" w:rsidRPr="00865953" w:rsidRDefault="003C0F2D" w:rsidP="005136AB">
      <w:pPr>
        <w:jc w:val="center"/>
        <w:rPr>
          <w:i/>
        </w:rPr>
      </w:pPr>
      <w:r>
        <w:rPr>
          <w:i/>
          <w:vertAlign w:val="superscript"/>
        </w:rPr>
        <w:t>1</w:t>
      </w:r>
      <w:r w:rsidR="00865953" w:rsidRPr="00865953">
        <w:rPr>
          <w:i/>
        </w:rPr>
        <w:t>Chemistry Institute, Federal University of Uberlândia, Uberlândia, Minas Gerais, 38400-902, Brazil</w:t>
      </w:r>
    </w:p>
    <w:p w14:paraId="6C239A3C" w14:textId="0F40E24D" w:rsidR="00865953" w:rsidRPr="00865953" w:rsidRDefault="003C0F2D" w:rsidP="005136AB">
      <w:pPr>
        <w:jc w:val="center"/>
        <w:rPr>
          <w:i/>
        </w:rPr>
      </w:pPr>
      <w:r>
        <w:rPr>
          <w:i/>
          <w:vertAlign w:val="superscript"/>
        </w:rPr>
        <w:t>2</w:t>
      </w:r>
      <w:r w:rsidR="00865953" w:rsidRPr="00865953">
        <w:rPr>
          <w:i/>
        </w:rPr>
        <w:t>Department of Polymer Technology, Faculty of Chemistry, Gdańsk University of Technology, Gabriela Narutowicza 11/12, Gdańsk 80–233, Poland</w:t>
      </w:r>
    </w:p>
    <w:p w14:paraId="7738673C" w14:textId="094A3986" w:rsidR="00325004" w:rsidRPr="00A86EB9" w:rsidRDefault="003C0F2D" w:rsidP="005136AB">
      <w:pPr>
        <w:jc w:val="center"/>
        <w:rPr>
          <w:i/>
        </w:rPr>
      </w:pPr>
      <w:r>
        <w:rPr>
          <w:i/>
          <w:vertAlign w:val="superscript"/>
        </w:rPr>
        <w:t>3</w:t>
      </w:r>
      <w:r w:rsidR="00865953" w:rsidRPr="00865953">
        <w:rPr>
          <w:i/>
        </w:rPr>
        <w:t>Institute of Nanotechnology and Materials Engineering, Faculty of Applied Physics and Mathematics, Gdansk University of Technology, Gabriela Narutowicza 11/12, Gdansk 80-233, Poland</w:t>
      </w:r>
    </w:p>
    <w:p w14:paraId="4EC70EAC" w14:textId="59481D7F" w:rsidR="00685C1A" w:rsidRPr="00685C1A" w:rsidRDefault="005679DD" w:rsidP="005136AB">
      <w:pPr>
        <w:jc w:val="center"/>
        <w:rPr>
          <w:i/>
        </w:rPr>
      </w:pPr>
      <w:r w:rsidRPr="005679DD">
        <w:rPr>
          <w:i/>
        </w:rPr>
        <w:t>Corresponding author email (gilvana.siqueira@ufu.br)</w:t>
      </w:r>
    </w:p>
    <w:p w14:paraId="458ACCBA" w14:textId="77777777" w:rsidR="00325004" w:rsidRDefault="00325004" w:rsidP="00C72052">
      <w:pPr>
        <w:jc w:val="center"/>
      </w:pPr>
    </w:p>
    <w:p w14:paraId="32B1FE3A" w14:textId="3C3F2223" w:rsidR="00586E9B" w:rsidRDefault="00A32A4F" w:rsidP="005136AB">
      <w:pPr>
        <w:jc w:val="both"/>
      </w:pPr>
      <w:r w:rsidRPr="00A32A4F">
        <w:t xml:space="preserve">Plasticizers are low-molecular-weight compounds that enhance polymer flexibility and processability by increasing chain mobility </w:t>
      </w:r>
      <w:r>
        <w:t>[</w:t>
      </w:r>
      <w:r w:rsidRPr="00A32A4F">
        <w:t>1</w:t>
      </w:r>
      <w:r w:rsidR="00FC7271">
        <w:t>]</w:t>
      </w:r>
      <w:r w:rsidRPr="00A32A4F">
        <w:t xml:space="preserve">. The demand for sustainable alternatives to petrochemical plasticizers has promoted the use of bioplasticizers derived from vegetable oils, which are renewable, low-cost, and environmentally friendly </w:t>
      </w:r>
      <w:r w:rsidR="00FC7271">
        <w:t>[</w:t>
      </w:r>
      <w:r w:rsidRPr="00A32A4F">
        <w:t>2</w:t>
      </w:r>
      <w:r w:rsidR="00FC7271">
        <w:t>]</w:t>
      </w:r>
      <w:r w:rsidRPr="00A32A4F">
        <w:t xml:space="preserve">. In this context, the circular economy encourages sustainable and recyclable materials to reduce waste and extend product lifecycles </w:t>
      </w:r>
      <w:r w:rsidR="00FC7271">
        <w:t>[</w:t>
      </w:r>
      <w:r w:rsidRPr="00A32A4F">
        <w:t>3</w:t>
      </w:r>
      <w:r w:rsidR="00FC7271">
        <w:t>]</w:t>
      </w:r>
      <w:r w:rsidRPr="00A32A4F">
        <w:t xml:space="preserve">. Due to its rich biodiversity, the Amazon region holds great potential for producing vegetable oils such as buriti oil </w:t>
      </w:r>
      <w:r w:rsidR="00FC7271">
        <w:t>[</w:t>
      </w:r>
      <w:r w:rsidRPr="00A32A4F">
        <w:t>4</w:t>
      </w:r>
      <w:r w:rsidR="00FC7271">
        <w:t>]</w:t>
      </w:r>
      <w:r w:rsidRPr="00A32A4F">
        <w:t xml:space="preserve">. In additive manufacturing, plasticizers can improve filament printability and composite homogeneity </w:t>
      </w:r>
      <w:r w:rsidR="00FC7271">
        <w:t>[</w:t>
      </w:r>
      <w:r w:rsidRPr="00A32A4F">
        <w:t>5</w:t>
      </w:r>
      <w:r w:rsidR="00FC7271">
        <w:t>]</w:t>
      </w:r>
      <w:r w:rsidRPr="00A32A4F">
        <w:t xml:space="preserve">. In this work, we developed conductive filaments composed of 10 wt% buriti oil (BU), 65 wt% </w:t>
      </w:r>
      <w:r w:rsidR="007771F1" w:rsidRPr="007771F1">
        <w:t xml:space="preserve">polylactic acid </w:t>
      </w:r>
      <w:r w:rsidR="007771F1">
        <w:t>(</w:t>
      </w:r>
      <w:r w:rsidRPr="00A32A4F">
        <w:t>PLA</w:t>
      </w:r>
      <w:r w:rsidR="007771F1">
        <w:t>)</w:t>
      </w:r>
      <w:r w:rsidRPr="00A32A4F">
        <w:t>, and 25 wt% carbon black (CB). The resulting filaments exhibited higher flexibility than non-plasticized ones (Fig. 1a). SEM analysis (Fig. 1b) confirmed a homogeneous electrode structure. Using FcDM</w:t>
      </w:r>
      <w:r w:rsidR="00196390" w:rsidRPr="00196390">
        <w:rPr>
          <w:vertAlign w:val="superscript"/>
        </w:rPr>
        <w:t>0</w:t>
      </w:r>
      <w:r w:rsidRPr="00A32A4F">
        <w:t xml:space="preserve"> as a redox probe, an </w:t>
      </w:r>
      <w:r w:rsidRPr="00C51F1B">
        <w:rPr>
          <w:color w:val="000000" w:themeColor="text1"/>
        </w:rPr>
        <w:t xml:space="preserve">approximately </w:t>
      </w:r>
      <w:r w:rsidR="00C51F1B" w:rsidRPr="00C51F1B">
        <w:rPr>
          <w:color w:val="000000" w:themeColor="text1"/>
        </w:rPr>
        <w:t>1.6</w:t>
      </w:r>
      <w:r w:rsidRPr="00C51F1B">
        <w:rPr>
          <w:color w:val="000000" w:themeColor="text1"/>
        </w:rPr>
        <w:t>-</w:t>
      </w:r>
      <w:r w:rsidRPr="00A32A4F">
        <w:t>fold current increase was observed (Fig. 1c), attributed to improved charge transport and percolation</w:t>
      </w:r>
      <w:r w:rsidR="00F57F00">
        <w:t xml:space="preserve">, </w:t>
      </w:r>
      <w:r w:rsidR="000964DD">
        <w:t>and the</w:t>
      </w:r>
      <w:r w:rsidR="000964DD" w:rsidRPr="000964DD">
        <w:t xml:space="preserve"> electrochemical response of L-tyrosine</w:t>
      </w:r>
      <w:r w:rsidR="000964DD">
        <w:t xml:space="preserve"> (L-Ty</w:t>
      </w:r>
      <w:r w:rsidR="00295AFA">
        <w:t>r)</w:t>
      </w:r>
      <w:r w:rsidR="000964DD" w:rsidRPr="000964DD">
        <w:t xml:space="preserve"> was evaluated, </w:t>
      </w:r>
      <w:r w:rsidR="00F57F00" w:rsidRPr="00F57F00">
        <w:t>with CB-PLA-BU</w:t>
      </w:r>
      <w:r w:rsidR="00F57F00">
        <w:t xml:space="preserve"> </w:t>
      </w:r>
      <w:r w:rsidR="000964DD" w:rsidRPr="000964DD">
        <w:t>exhibiting enhanced peak definition due to its superior electrochemical performance</w:t>
      </w:r>
      <w:r w:rsidR="00BE0FFC">
        <w:t xml:space="preserve">. </w:t>
      </w:r>
      <w:r w:rsidRPr="00A32A4F">
        <w:t>The amperometric calibration curve for L-Tyr (10.0–</w:t>
      </w:r>
      <w:r w:rsidR="00CB7E51">
        <w:t>750</w:t>
      </w:r>
      <w:r w:rsidRPr="00A32A4F">
        <w:t>.0 µmol L⁻¹, R² = 0.993) obtained with the CB-PLA-BU electrode showed LOD and LOQ of 0.69 µmol L⁻¹ and 2.30 µmol L⁻¹, respectively (Fig. 1d). When applied to human urine samples using standard addition and recovery tests at 10</w:t>
      </w:r>
      <w:r w:rsidR="00BE0FFC">
        <w:t>.0</w:t>
      </w:r>
      <w:r w:rsidRPr="00A32A4F">
        <w:t xml:space="preserve"> and 50</w:t>
      </w:r>
      <w:r w:rsidR="00BE0FFC">
        <w:t>.0</w:t>
      </w:r>
      <w:r w:rsidRPr="00A32A4F">
        <w:t xml:space="preserve"> µmol L⁻¹, recoveries of </w:t>
      </w:r>
      <w:r w:rsidR="00B667D3" w:rsidRPr="00B667D3">
        <w:t>98.78</w:t>
      </w:r>
      <w:r w:rsidRPr="00A32A4F">
        <w:t xml:space="preserve">% and </w:t>
      </w:r>
      <w:r w:rsidR="00F508FB" w:rsidRPr="00F508FB">
        <w:t>116.29</w:t>
      </w:r>
      <w:r w:rsidRPr="00A32A4F">
        <w:t xml:space="preserve">% were obtained, indicating acceptable accuracy. </w:t>
      </w:r>
      <w:r w:rsidR="00EE24ED" w:rsidRPr="00EE24ED">
        <w:t>Thus, the results demonstrate the potential of the 3D-printed</w:t>
      </w:r>
      <w:r w:rsidR="00B558DE">
        <w:t xml:space="preserve"> </w:t>
      </w:r>
      <w:r w:rsidR="00EE24ED" w:rsidRPr="00EE24ED">
        <w:t>lab-made platform with bioplasticizers for the electroanalytical detection of L-Tyr.</w:t>
      </w:r>
    </w:p>
    <w:p w14:paraId="35F33AD9" w14:textId="77777777" w:rsidR="00A32A4F" w:rsidRDefault="00A32A4F" w:rsidP="00D07236">
      <w:pPr>
        <w:jc w:val="both"/>
      </w:pPr>
    </w:p>
    <w:p w14:paraId="0CCA2E5A" w14:textId="6EBC1B8D" w:rsidR="00D07236" w:rsidRDefault="00B51DE1" w:rsidP="00262C59">
      <w:pPr>
        <w:jc w:val="center"/>
      </w:pPr>
      <w:r>
        <w:rPr>
          <w:noProof/>
          <w:snapToGrid/>
        </w:rPr>
        <w:drawing>
          <wp:inline distT="0" distB="0" distL="0" distR="0" wp14:anchorId="4179D467" wp14:editId="5F4DC51F">
            <wp:extent cx="5067300" cy="1302424"/>
            <wp:effectExtent l="0" t="0" r="0" b="0"/>
            <wp:docPr id="141270908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709086" name="Imagem 141270908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5614" cy="130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6363F" w14:textId="55A56856" w:rsidR="001F6969" w:rsidRDefault="001F6969" w:rsidP="001F6969">
      <w:pPr>
        <w:jc w:val="both"/>
      </w:pPr>
      <w:r w:rsidRPr="001D0BE1">
        <w:t>Figure 1. (a) Image of the CB-PLA-BU filament; (b) SEM images of electrodes with and without plasticizer; (c) CV responses in 1.0 mmol L⁻¹ FcDM</w:t>
      </w:r>
      <w:r w:rsidRPr="001D0BE1">
        <w:rPr>
          <w:vertAlign w:val="superscript"/>
        </w:rPr>
        <w:t>0</w:t>
      </w:r>
      <w:r w:rsidRPr="001D0BE1">
        <w:t xml:space="preserve"> in 0.1 mol L⁻¹ KCl</w:t>
      </w:r>
      <w:r>
        <w:t>,</w:t>
      </w:r>
      <w:r w:rsidRPr="001D0BE1">
        <w:t xml:space="preserve"> and L-Tyr in BR buffer (pH 2.0), </w:t>
      </w:r>
      <w:r>
        <w:t xml:space="preserve">in </w:t>
      </w:r>
      <w:r w:rsidRPr="001D0BE1">
        <w:t xml:space="preserve">different electrodes (scan rate = 50 mV s⁻¹; step = 5 mV); (d) Amperometric responses and calibration curve for CB-PLA-BU in BR buffer (pH 2.0), without and with L-Tyr (a-j: 0.0–1000.0 µmol L⁻¹), at +1.1 V </w:t>
      </w:r>
      <w:r w:rsidRPr="00814CDD">
        <w:rPr>
          <w:i/>
          <w:iCs/>
        </w:rPr>
        <w:t>vs</w:t>
      </w:r>
      <w:r w:rsidRPr="001D0BE1">
        <w:t>. Ag|AgCl|KCl</w:t>
      </w:r>
      <w:r w:rsidRPr="00814CDD">
        <w:rPr>
          <w:vertAlign w:val="subscript"/>
        </w:rPr>
        <w:t>(sat.)</w:t>
      </w:r>
      <w:r w:rsidRPr="001D0BE1">
        <w:t>.</w:t>
      </w:r>
    </w:p>
    <w:p w14:paraId="3D522A1B" w14:textId="77777777" w:rsidR="0034146E" w:rsidRDefault="0034146E" w:rsidP="00262C59">
      <w:pPr>
        <w:jc w:val="both"/>
      </w:pPr>
    </w:p>
    <w:p w14:paraId="1B0BB813" w14:textId="1F1892F3" w:rsidR="00D07236" w:rsidRPr="0034146E" w:rsidRDefault="00D07236" w:rsidP="00BE0FFC">
      <w:pPr>
        <w:jc w:val="both"/>
      </w:pPr>
      <w:r w:rsidRPr="0034146E">
        <w:t>Acknowledgements</w:t>
      </w:r>
    </w:p>
    <w:p w14:paraId="3260BFEA" w14:textId="72A98902" w:rsidR="00734647" w:rsidRDefault="005E73D2" w:rsidP="00BE0FFC">
      <w:pPr>
        <w:jc w:val="both"/>
      </w:pPr>
      <w:r w:rsidRPr="005E73D2">
        <w:t>Gilvana P. Siqueira acknowledges the doctoral scholarship provided by the Fahrenheit Universities program (Gdańsk, Poland) and the Brazilian agency CNPq (141177/2024-1)</w:t>
      </w:r>
      <w:r>
        <w:t>.</w:t>
      </w:r>
    </w:p>
    <w:p w14:paraId="6CAAA25D" w14:textId="77777777" w:rsidR="005E73D2" w:rsidRPr="0034146E" w:rsidRDefault="005E73D2" w:rsidP="00BE0FFC">
      <w:pPr>
        <w:jc w:val="both"/>
      </w:pPr>
    </w:p>
    <w:p w14:paraId="6FA37580" w14:textId="7F8A4AD1" w:rsidR="00325004" w:rsidRPr="0034146E" w:rsidRDefault="0026130E" w:rsidP="00BE0FFC">
      <w:pPr>
        <w:jc w:val="both"/>
      </w:pPr>
      <w:r w:rsidRPr="0034146E">
        <w:t>References</w:t>
      </w:r>
    </w:p>
    <w:p w14:paraId="5922479A" w14:textId="21A0A1A7" w:rsidR="00982214" w:rsidRPr="00F57F00" w:rsidRDefault="00982214" w:rsidP="00BE0FFC">
      <w:pPr>
        <w:jc w:val="both"/>
      </w:pPr>
      <w:r w:rsidRPr="00F57F00">
        <w:t xml:space="preserve">1. N.R. Amrutha, P.S.K. Murthy, J.P. Reddy, Ind. Crops Prod. 224 (2025) 120360. </w:t>
      </w:r>
    </w:p>
    <w:p w14:paraId="1321CDB1" w14:textId="1B72DFA7" w:rsidR="00982214" w:rsidRPr="00F57F00" w:rsidRDefault="00982214" w:rsidP="00BE0FFC">
      <w:pPr>
        <w:jc w:val="both"/>
      </w:pPr>
      <w:r w:rsidRPr="00F57F00">
        <w:t xml:space="preserve">2. P. Senthamaraikannan, et al., J. Inorg. Organomet. Polym. (2025). </w:t>
      </w:r>
    </w:p>
    <w:p w14:paraId="12DCC49D" w14:textId="1D82C9D6" w:rsidR="00982214" w:rsidRPr="00F57F00" w:rsidRDefault="00982214" w:rsidP="00BE0FFC">
      <w:pPr>
        <w:jc w:val="both"/>
      </w:pPr>
      <w:r w:rsidRPr="00F57F00">
        <w:t xml:space="preserve">3. European Union (2023). </w:t>
      </w:r>
    </w:p>
    <w:p w14:paraId="3A6F6F30" w14:textId="5DEE3636" w:rsidR="00982214" w:rsidRPr="00F57F00" w:rsidRDefault="00982214" w:rsidP="00BE0FFC">
      <w:pPr>
        <w:jc w:val="both"/>
      </w:pPr>
      <w:r w:rsidRPr="00F57F00">
        <w:t xml:space="preserve">4. J.M. Guayasamin, et al., Acta Amazonica (2024). </w:t>
      </w:r>
    </w:p>
    <w:p w14:paraId="3994C306" w14:textId="2047BBAF" w:rsidR="00E0716D" w:rsidRDefault="00982214" w:rsidP="00BE0FFC">
      <w:pPr>
        <w:jc w:val="both"/>
        <w:rPr>
          <w:lang w:val="pt-BR"/>
        </w:rPr>
      </w:pPr>
      <w:r w:rsidRPr="00F57F00">
        <w:t xml:space="preserve">5. R.D. Crapnell, et al., ACS Sustainable Chem. Eng. </w:t>
      </w:r>
      <w:r w:rsidRPr="0034146E">
        <w:rPr>
          <w:lang w:val="pt-BR"/>
        </w:rPr>
        <w:t>(2023).</w:t>
      </w:r>
    </w:p>
    <w:p w14:paraId="5A4259FD" w14:textId="77777777" w:rsidR="005E73D2" w:rsidRPr="0034146E" w:rsidRDefault="005E73D2" w:rsidP="00BE0FFC">
      <w:pPr>
        <w:jc w:val="both"/>
      </w:pPr>
    </w:p>
    <w:sectPr w:rsidR="005E73D2" w:rsidRPr="0034146E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161E5"/>
    <w:multiLevelType w:val="hybridMultilevel"/>
    <w:tmpl w:val="FCBC7B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750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375D8"/>
    <w:rsid w:val="00041EFD"/>
    <w:rsid w:val="0004400B"/>
    <w:rsid w:val="000636A3"/>
    <w:rsid w:val="0009325E"/>
    <w:rsid w:val="000964DD"/>
    <w:rsid w:val="000A37AB"/>
    <w:rsid w:val="00100417"/>
    <w:rsid w:val="001447A1"/>
    <w:rsid w:val="00157293"/>
    <w:rsid w:val="001609DD"/>
    <w:rsid w:val="00160F50"/>
    <w:rsid w:val="0019163E"/>
    <w:rsid w:val="00196390"/>
    <w:rsid w:val="001C4354"/>
    <w:rsid w:val="001D0BE1"/>
    <w:rsid w:val="001D231C"/>
    <w:rsid w:val="001D3A1B"/>
    <w:rsid w:val="001E0F86"/>
    <w:rsid w:val="001F6969"/>
    <w:rsid w:val="00232F2D"/>
    <w:rsid w:val="0026130E"/>
    <w:rsid w:val="00262C59"/>
    <w:rsid w:val="00280762"/>
    <w:rsid w:val="00295AFA"/>
    <w:rsid w:val="002C20A7"/>
    <w:rsid w:val="002E640E"/>
    <w:rsid w:val="002E6B74"/>
    <w:rsid w:val="003033A1"/>
    <w:rsid w:val="00325004"/>
    <w:rsid w:val="0034146E"/>
    <w:rsid w:val="00363934"/>
    <w:rsid w:val="003A7C45"/>
    <w:rsid w:val="003C0F2D"/>
    <w:rsid w:val="00436253"/>
    <w:rsid w:val="00446AEB"/>
    <w:rsid w:val="004B6794"/>
    <w:rsid w:val="004D408A"/>
    <w:rsid w:val="00510BFD"/>
    <w:rsid w:val="005136AB"/>
    <w:rsid w:val="00536366"/>
    <w:rsid w:val="00543660"/>
    <w:rsid w:val="00555E3C"/>
    <w:rsid w:val="00560561"/>
    <w:rsid w:val="005607C7"/>
    <w:rsid w:val="005679DD"/>
    <w:rsid w:val="00586E9B"/>
    <w:rsid w:val="00587DEF"/>
    <w:rsid w:val="005B5AD3"/>
    <w:rsid w:val="005C5164"/>
    <w:rsid w:val="005D556D"/>
    <w:rsid w:val="005E73D2"/>
    <w:rsid w:val="00612B62"/>
    <w:rsid w:val="0068500A"/>
    <w:rsid w:val="00685C1A"/>
    <w:rsid w:val="006A5071"/>
    <w:rsid w:val="006A5360"/>
    <w:rsid w:val="006C6FF3"/>
    <w:rsid w:val="006D2DE0"/>
    <w:rsid w:val="006F7304"/>
    <w:rsid w:val="00734647"/>
    <w:rsid w:val="00753549"/>
    <w:rsid w:val="0077675A"/>
    <w:rsid w:val="007771F1"/>
    <w:rsid w:val="007B2B4E"/>
    <w:rsid w:val="007B5909"/>
    <w:rsid w:val="007E3A68"/>
    <w:rsid w:val="007F003C"/>
    <w:rsid w:val="007F71A3"/>
    <w:rsid w:val="00814CDD"/>
    <w:rsid w:val="00865953"/>
    <w:rsid w:val="008A25A8"/>
    <w:rsid w:val="008B4BF6"/>
    <w:rsid w:val="008E2A87"/>
    <w:rsid w:val="008F714F"/>
    <w:rsid w:val="0092647E"/>
    <w:rsid w:val="009352FE"/>
    <w:rsid w:val="00967EB9"/>
    <w:rsid w:val="009741D7"/>
    <w:rsid w:val="00975E1E"/>
    <w:rsid w:val="00982214"/>
    <w:rsid w:val="00984296"/>
    <w:rsid w:val="009C268F"/>
    <w:rsid w:val="00A102AD"/>
    <w:rsid w:val="00A32A4F"/>
    <w:rsid w:val="00A338DC"/>
    <w:rsid w:val="00A70B6D"/>
    <w:rsid w:val="00AD5A09"/>
    <w:rsid w:val="00B32447"/>
    <w:rsid w:val="00B51DE1"/>
    <w:rsid w:val="00B5518D"/>
    <w:rsid w:val="00B558DE"/>
    <w:rsid w:val="00B667D3"/>
    <w:rsid w:val="00B67B60"/>
    <w:rsid w:val="00BA4F70"/>
    <w:rsid w:val="00BE0FFC"/>
    <w:rsid w:val="00C04487"/>
    <w:rsid w:val="00C51F1B"/>
    <w:rsid w:val="00C72052"/>
    <w:rsid w:val="00C73633"/>
    <w:rsid w:val="00CB7E51"/>
    <w:rsid w:val="00CE7672"/>
    <w:rsid w:val="00D07236"/>
    <w:rsid w:val="00D35124"/>
    <w:rsid w:val="00D6215C"/>
    <w:rsid w:val="00D74EF9"/>
    <w:rsid w:val="00D94D05"/>
    <w:rsid w:val="00D965B4"/>
    <w:rsid w:val="00D970B1"/>
    <w:rsid w:val="00DA4B7C"/>
    <w:rsid w:val="00DD49BF"/>
    <w:rsid w:val="00E0716D"/>
    <w:rsid w:val="00E178E3"/>
    <w:rsid w:val="00E2584B"/>
    <w:rsid w:val="00E65233"/>
    <w:rsid w:val="00E94678"/>
    <w:rsid w:val="00EC3C50"/>
    <w:rsid w:val="00ED2B23"/>
    <w:rsid w:val="00EE24ED"/>
    <w:rsid w:val="00EF26EE"/>
    <w:rsid w:val="00F32144"/>
    <w:rsid w:val="00F33550"/>
    <w:rsid w:val="00F508FB"/>
    <w:rsid w:val="00F57F00"/>
    <w:rsid w:val="00F63EA5"/>
    <w:rsid w:val="00F96914"/>
    <w:rsid w:val="00F97641"/>
    <w:rsid w:val="00FC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851375"/>
  <w14:defaultImageDpi w14:val="300"/>
  <w15:docId w15:val="{45F42C65-6B67-4BEA-968B-CCACF9A1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375D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73633"/>
    <w:rPr>
      <w:sz w:val="24"/>
      <w:szCs w:val="24"/>
    </w:rPr>
  </w:style>
  <w:style w:type="paragraph" w:styleId="Reviso">
    <w:name w:val="Revision"/>
    <w:hidden/>
    <w:uiPriority w:val="99"/>
    <w:semiHidden/>
    <w:rsid w:val="00F57F00"/>
    <w:rPr>
      <w:snapToGrid w:val="0"/>
    </w:rPr>
  </w:style>
  <w:style w:type="character" w:styleId="Hiperligao">
    <w:name w:val="Hyperlink"/>
    <w:basedOn w:val="Tipodeletrapredefinidodopargrafo"/>
    <w:uiPriority w:val="99"/>
    <w:unhideWhenUsed/>
    <w:rsid w:val="00F96914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969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552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Gilvana Pereira Siqueira</cp:lastModifiedBy>
  <cp:revision>11</cp:revision>
  <cp:lastPrinted>2013-10-21T12:07:00Z</cp:lastPrinted>
  <dcterms:created xsi:type="dcterms:W3CDTF">2026-05-20T13:13:00Z</dcterms:created>
  <dcterms:modified xsi:type="dcterms:W3CDTF">2026-05-23T14:33:00Z</dcterms:modified>
</cp:coreProperties>
</file>