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004" w:rsidRDefault="001E0886" w:rsidP="00E0716D">
      <w:pPr>
        <w:jc w:val="center"/>
        <w:rPr>
          <w:b/>
          <w:sz w:val="28"/>
        </w:rPr>
      </w:pPr>
      <w:r w:rsidRPr="001E0886">
        <w:rPr>
          <w:b/>
          <w:sz w:val="28"/>
        </w:rPr>
        <w:t>Electrochemical Etching of MAX Phases: Mapping the Window Between Selective A-Layer Removal and Degradation</w:t>
      </w:r>
    </w:p>
    <w:p w:rsidR="001E0886" w:rsidRDefault="001E0886" w:rsidP="001E0886">
      <w:pPr>
        <w:jc w:val="center"/>
        <w:rPr>
          <w:u w:val="single"/>
        </w:rPr>
      </w:pPr>
    </w:p>
    <w:p w:rsidR="0012504D" w:rsidRDefault="001E0886" w:rsidP="001E0886">
      <w:pPr>
        <w:jc w:val="center"/>
        <w:rPr>
          <w:lang w:val="pl-PL"/>
        </w:rPr>
      </w:pPr>
      <w:r w:rsidRPr="001E0886">
        <w:rPr>
          <w:u w:val="single"/>
          <w:lang w:val="pl-PL"/>
        </w:rPr>
        <w:t>Katarzyna Siuzdak</w:t>
      </w:r>
      <w:r w:rsidRPr="001E0886">
        <w:rPr>
          <w:u w:val="single"/>
          <w:vertAlign w:val="superscript"/>
          <w:lang w:val="pl-PL"/>
        </w:rPr>
        <w:t>1</w:t>
      </w:r>
      <w:r>
        <w:rPr>
          <w:lang w:val="pl-PL"/>
        </w:rPr>
        <w:t xml:space="preserve">, </w:t>
      </w:r>
      <w:proofErr w:type="spellStart"/>
      <w:r>
        <w:rPr>
          <w:lang w:val="pl-PL"/>
        </w:rPr>
        <w:t>Dujearic</w:t>
      </w:r>
      <w:proofErr w:type="spellEnd"/>
      <w:r>
        <w:rPr>
          <w:lang w:val="pl-PL"/>
        </w:rPr>
        <w:t xml:space="preserve"> Koua</w:t>
      </w:r>
      <w:r w:rsidR="00C40740">
        <w:rPr>
          <w:lang w:val="pl-PL"/>
        </w:rPr>
        <w:t>o</w:t>
      </w:r>
      <w:r w:rsidRPr="001E0886">
        <w:rPr>
          <w:vertAlign w:val="superscript"/>
          <w:lang w:val="pl-PL"/>
        </w:rPr>
        <w:t>o1</w:t>
      </w:r>
      <w:r>
        <w:rPr>
          <w:lang w:val="pl-PL"/>
        </w:rPr>
        <w:t xml:space="preserve">, </w:t>
      </w:r>
      <w:r w:rsidRPr="001E0886">
        <w:rPr>
          <w:lang w:val="pl-PL"/>
        </w:rPr>
        <w:t>Agnieszka Kramek</w:t>
      </w:r>
      <w:r w:rsidRPr="001E0886">
        <w:rPr>
          <w:vertAlign w:val="superscript"/>
          <w:lang w:val="pl-PL"/>
        </w:rPr>
        <w:t>2</w:t>
      </w:r>
      <w:r w:rsidRPr="001E0886">
        <w:rPr>
          <w:lang w:val="pl-PL"/>
        </w:rPr>
        <w:t>, Justyna Gumieniak</w:t>
      </w:r>
      <w:r w:rsidRPr="001E0886">
        <w:rPr>
          <w:vertAlign w:val="superscript"/>
          <w:lang w:val="pl-PL"/>
        </w:rPr>
        <w:t>2</w:t>
      </w:r>
      <w:r w:rsidR="0012504D">
        <w:rPr>
          <w:lang w:val="pl-PL"/>
        </w:rPr>
        <w:t>,</w:t>
      </w:r>
    </w:p>
    <w:p w:rsidR="001E0886" w:rsidRPr="001E0886" w:rsidRDefault="001E0886" w:rsidP="001E0886">
      <w:pPr>
        <w:jc w:val="center"/>
        <w:rPr>
          <w:vertAlign w:val="superscript"/>
          <w:lang w:val="pl-PL"/>
        </w:rPr>
      </w:pPr>
      <w:r>
        <w:rPr>
          <w:lang w:val="pl-PL"/>
        </w:rPr>
        <w:t>Jakub Karczewski</w:t>
      </w:r>
      <w:r w:rsidRPr="001E0886">
        <w:rPr>
          <w:vertAlign w:val="superscript"/>
          <w:lang w:val="pl-PL"/>
        </w:rPr>
        <w:t>3</w:t>
      </w:r>
      <w:r>
        <w:rPr>
          <w:lang w:val="pl-PL"/>
        </w:rPr>
        <w:t xml:space="preserve">, </w:t>
      </w:r>
      <w:r w:rsidRPr="001E0886">
        <w:rPr>
          <w:lang w:val="pl-PL"/>
        </w:rPr>
        <w:t>Katarzyna</w:t>
      </w:r>
      <w:r>
        <w:rPr>
          <w:lang w:val="pl-PL"/>
        </w:rPr>
        <w:t xml:space="preserve"> Grochowska</w:t>
      </w:r>
      <w:r>
        <w:rPr>
          <w:vertAlign w:val="superscript"/>
          <w:lang w:val="pl-PL"/>
        </w:rPr>
        <w:t>1</w:t>
      </w:r>
    </w:p>
    <w:p w:rsidR="001E0886" w:rsidRPr="001E0886" w:rsidRDefault="001E0886" w:rsidP="001E0886">
      <w:pPr>
        <w:jc w:val="center"/>
        <w:rPr>
          <w:i/>
        </w:rPr>
      </w:pPr>
      <w:r w:rsidRPr="001E0886">
        <w:rPr>
          <w:i/>
          <w:vertAlign w:val="superscript"/>
        </w:rPr>
        <w:t>1</w:t>
      </w:r>
      <w:r w:rsidRPr="001E0886">
        <w:rPr>
          <w:i/>
        </w:rPr>
        <w:t xml:space="preserve"> Centre of Plasma and Laser Engineering, The </w:t>
      </w:r>
      <w:proofErr w:type="spellStart"/>
      <w:r w:rsidRPr="001E0886">
        <w:rPr>
          <w:i/>
        </w:rPr>
        <w:t>Szewalski</w:t>
      </w:r>
      <w:proofErr w:type="spellEnd"/>
      <w:r w:rsidRPr="001E0886">
        <w:rPr>
          <w:i/>
        </w:rPr>
        <w:t xml:space="preserve"> Institute of Fluid-Flow Machinery Polish Academy of Sciences, </w:t>
      </w:r>
      <w:proofErr w:type="spellStart"/>
      <w:r w:rsidRPr="001E0886">
        <w:rPr>
          <w:i/>
        </w:rPr>
        <w:t>Fiszera</w:t>
      </w:r>
      <w:proofErr w:type="spellEnd"/>
      <w:r w:rsidRPr="001E0886">
        <w:rPr>
          <w:i/>
        </w:rPr>
        <w:t xml:space="preserve"> 14 </w:t>
      </w:r>
      <w:proofErr w:type="spellStart"/>
      <w:r w:rsidRPr="001E0886">
        <w:rPr>
          <w:i/>
        </w:rPr>
        <w:t>st.</w:t>
      </w:r>
      <w:proofErr w:type="spellEnd"/>
      <w:r w:rsidRPr="001E0886">
        <w:rPr>
          <w:i/>
        </w:rPr>
        <w:t xml:space="preserve">, 80-231 </w:t>
      </w:r>
      <w:proofErr w:type="spellStart"/>
      <w:r w:rsidRPr="001E0886">
        <w:rPr>
          <w:i/>
        </w:rPr>
        <w:t>Gdańsk</w:t>
      </w:r>
      <w:proofErr w:type="spellEnd"/>
      <w:r w:rsidRPr="001E0886">
        <w:rPr>
          <w:i/>
        </w:rPr>
        <w:t>, Poland</w:t>
      </w:r>
    </w:p>
    <w:p w:rsidR="001E0886" w:rsidRPr="001E0886" w:rsidRDefault="001E0886" w:rsidP="001E0886">
      <w:pPr>
        <w:jc w:val="center"/>
        <w:rPr>
          <w:i/>
        </w:rPr>
      </w:pPr>
      <w:r w:rsidRPr="001E0886">
        <w:rPr>
          <w:i/>
          <w:vertAlign w:val="superscript"/>
        </w:rPr>
        <w:t>2</w:t>
      </w:r>
      <w:r w:rsidRPr="001E0886">
        <w:rPr>
          <w:i/>
        </w:rPr>
        <w:t xml:space="preserve"> The Faculty of Mechanics and Technology, </w:t>
      </w:r>
      <w:proofErr w:type="spellStart"/>
      <w:r w:rsidRPr="001E0886">
        <w:rPr>
          <w:i/>
        </w:rPr>
        <w:t>Rzeszów</w:t>
      </w:r>
      <w:proofErr w:type="spellEnd"/>
      <w:r w:rsidRPr="001E0886">
        <w:rPr>
          <w:i/>
        </w:rPr>
        <w:t xml:space="preserve"> University of Technology, </w:t>
      </w:r>
      <w:proofErr w:type="spellStart"/>
      <w:r w:rsidRPr="001E0886">
        <w:rPr>
          <w:i/>
        </w:rPr>
        <w:t>Kwiatkowskiego</w:t>
      </w:r>
      <w:proofErr w:type="spellEnd"/>
      <w:r w:rsidRPr="001E0886">
        <w:rPr>
          <w:i/>
        </w:rPr>
        <w:t xml:space="preserve"> 4 </w:t>
      </w:r>
      <w:proofErr w:type="spellStart"/>
      <w:r w:rsidRPr="001E0886">
        <w:rPr>
          <w:i/>
        </w:rPr>
        <w:t>st.</w:t>
      </w:r>
      <w:proofErr w:type="spellEnd"/>
      <w:r w:rsidRPr="001E0886">
        <w:rPr>
          <w:i/>
        </w:rPr>
        <w:t xml:space="preserve">, </w:t>
      </w:r>
    </w:p>
    <w:p w:rsidR="001E0886" w:rsidRDefault="001E0886" w:rsidP="001E0886">
      <w:pPr>
        <w:jc w:val="center"/>
        <w:rPr>
          <w:i/>
        </w:rPr>
      </w:pPr>
      <w:r w:rsidRPr="001E0886">
        <w:rPr>
          <w:i/>
        </w:rPr>
        <w:t xml:space="preserve">37-450 </w:t>
      </w:r>
      <w:proofErr w:type="spellStart"/>
      <w:r w:rsidRPr="001E0886">
        <w:rPr>
          <w:i/>
        </w:rPr>
        <w:t>Stalowa</w:t>
      </w:r>
      <w:proofErr w:type="spellEnd"/>
      <w:r w:rsidRPr="001E0886">
        <w:rPr>
          <w:i/>
        </w:rPr>
        <w:t xml:space="preserve"> </w:t>
      </w:r>
      <w:proofErr w:type="spellStart"/>
      <w:r w:rsidRPr="001E0886">
        <w:rPr>
          <w:i/>
        </w:rPr>
        <w:t>Wola</w:t>
      </w:r>
      <w:proofErr w:type="spellEnd"/>
      <w:r w:rsidRPr="001E0886">
        <w:rPr>
          <w:i/>
        </w:rPr>
        <w:t>, Poland</w:t>
      </w:r>
    </w:p>
    <w:p w:rsidR="001E0886" w:rsidRPr="001E0886" w:rsidRDefault="001E0886" w:rsidP="001E0886">
      <w:pPr>
        <w:jc w:val="center"/>
        <w:rPr>
          <w:i/>
        </w:rPr>
      </w:pPr>
      <w:r>
        <w:rPr>
          <w:i/>
        </w:rPr>
        <w:t xml:space="preserve">3 </w:t>
      </w:r>
      <w:proofErr w:type="spellStart"/>
      <w:r>
        <w:rPr>
          <w:i/>
        </w:rPr>
        <w:t>Gdańsk</w:t>
      </w:r>
      <w:proofErr w:type="spellEnd"/>
      <w:r>
        <w:rPr>
          <w:i/>
        </w:rPr>
        <w:t xml:space="preserve"> University of Technology, </w:t>
      </w:r>
      <w:proofErr w:type="spellStart"/>
      <w:r>
        <w:rPr>
          <w:i/>
        </w:rPr>
        <w:t>Narutowicza</w:t>
      </w:r>
      <w:proofErr w:type="spellEnd"/>
      <w:r>
        <w:rPr>
          <w:i/>
        </w:rPr>
        <w:t xml:space="preserve"> 11/12, 80-233 </w:t>
      </w:r>
      <w:proofErr w:type="spellStart"/>
      <w:r>
        <w:rPr>
          <w:i/>
        </w:rPr>
        <w:t>Gdańsk</w:t>
      </w:r>
      <w:proofErr w:type="spellEnd"/>
      <w:r>
        <w:rPr>
          <w:i/>
        </w:rPr>
        <w:t>, Poland</w:t>
      </w:r>
    </w:p>
    <w:p w:rsidR="00685C1A" w:rsidRPr="00685C1A" w:rsidRDefault="00685C1A" w:rsidP="00E0716D">
      <w:pPr>
        <w:jc w:val="center"/>
        <w:rPr>
          <w:i/>
        </w:rPr>
      </w:pPr>
      <w:r w:rsidRPr="00685C1A">
        <w:rPr>
          <w:i/>
        </w:rPr>
        <w:t>e-mail address</w:t>
      </w:r>
      <w:r w:rsidR="001E0886">
        <w:rPr>
          <w:i/>
        </w:rPr>
        <w:t>: ksiuzdak@imp.gda.pl</w:t>
      </w:r>
    </w:p>
    <w:p w:rsidR="00325004" w:rsidRDefault="00325004" w:rsidP="00E0716D">
      <w:pPr>
        <w:jc w:val="center"/>
      </w:pPr>
    </w:p>
    <w:p w:rsidR="001E0886" w:rsidRDefault="001E0886" w:rsidP="00E0716D">
      <w:pPr>
        <w:jc w:val="both"/>
      </w:pPr>
    </w:p>
    <w:p w:rsidR="001E0886" w:rsidRDefault="001E0886" w:rsidP="001E0886">
      <w:pPr>
        <w:jc w:val="both"/>
      </w:pPr>
      <w:r>
        <w:t xml:space="preserve">Electrochemical etching of MAX phases has emerged as a safer alternative to HF-based </w:t>
      </w:r>
      <w:proofErr w:type="spellStart"/>
      <w:r>
        <w:t>MXene</w:t>
      </w:r>
      <w:proofErr w:type="spellEnd"/>
      <w:r>
        <w:t xml:space="preserve"> synthesis, yet systematic evaluation of its processing window, reproducibility, and inherent limitations remains incomplete</w:t>
      </w:r>
      <w:r w:rsidR="0012504D">
        <w:t xml:space="preserve"> [1]</w:t>
      </w:r>
      <w:r>
        <w:t>. This presentation examines the fundamental opportunities and challenges of electrochemical routes, focusing on the delicate balance between selective A-layer removal and destructive oxidation of the Mₙ₊₁Xₙ backbone, the risk of carbide-derived carbon formation, and the critical influence of electrode configuration, electrolyte composition, and applied potential.</w:t>
      </w:r>
    </w:p>
    <w:p w:rsidR="001E0886" w:rsidRDefault="001E0886" w:rsidP="001E0886">
      <w:pPr>
        <w:jc w:val="both"/>
      </w:pPr>
    </w:p>
    <w:p w:rsidR="001E0886" w:rsidRDefault="001E0886" w:rsidP="001E0886">
      <w:pPr>
        <w:jc w:val="both"/>
      </w:pPr>
      <w:r>
        <w:t>We employ a three-electrode setup with a glassy carbon crucible as the working electrode, a glassy carbon rod as the counter electrode, and Ag/</w:t>
      </w:r>
      <w:proofErr w:type="spellStart"/>
      <w:r>
        <w:t>AgCl</w:t>
      </w:r>
      <w:proofErr w:type="spellEnd"/>
      <w:r>
        <w:t xml:space="preserve">/0.1 M </w:t>
      </w:r>
      <w:proofErr w:type="spellStart"/>
      <w:r>
        <w:t>KCl</w:t>
      </w:r>
      <w:proofErr w:type="spellEnd"/>
      <w:r>
        <w:t xml:space="preserve"> as the reference electrode. The MAX phase is etched in an aqueous electrolyte containing </w:t>
      </w:r>
      <w:proofErr w:type="spellStart"/>
      <w:r>
        <w:t>tetramethylammonium</w:t>
      </w:r>
      <w:proofErr w:type="spellEnd"/>
      <w:r>
        <w:t xml:space="preserve"> </w:t>
      </w:r>
      <w:proofErr w:type="spellStart"/>
      <w:r>
        <w:t>tetrafluoroborate</w:t>
      </w:r>
      <w:proofErr w:type="spellEnd"/>
      <w:r>
        <w:t xml:space="preserve"> dissolved in sulfuric or phosphoric acid, providing fluoride ions without bulk HF while enabling independent control of proton activity and ionic strength. </w:t>
      </w:r>
      <w:proofErr w:type="spellStart"/>
      <w:r>
        <w:t>Potentiostatic</w:t>
      </w:r>
      <w:proofErr w:type="spellEnd"/>
      <w:r>
        <w:t xml:space="preserve"> etching </w:t>
      </w:r>
      <w:bookmarkStart w:id="0" w:name="_GoBack"/>
      <w:bookmarkEnd w:id="0"/>
      <w:r>
        <w:t xml:space="preserve">ensures a well-defined electrochemical driving force, in contrast to </w:t>
      </w:r>
      <w:proofErr w:type="spellStart"/>
      <w:r>
        <w:t>galvanostatic</w:t>
      </w:r>
      <w:proofErr w:type="spellEnd"/>
      <w:r>
        <w:t xml:space="preserve"> or two-electrode methods that suffer from poorly controlled </w:t>
      </w:r>
      <w:proofErr w:type="spellStart"/>
      <w:r>
        <w:t>overpotentials</w:t>
      </w:r>
      <w:proofErr w:type="spellEnd"/>
      <w:r>
        <w:t xml:space="preserve"> and localized corrosion.</w:t>
      </w:r>
    </w:p>
    <w:p w:rsidR="001E0886" w:rsidRDefault="001E0886" w:rsidP="001E0886">
      <w:pPr>
        <w:jc w:val="both"/>
      </w:pPr>
    </w:p>
    <w:p w:rsidR="001E0886" w:rsidRDefault="001E0886" w:rsidP="001E0886">
      <w:pPr>
        <w:jc w:val="both"/>
      </w:pPr>
      <w:r>
        <w:t>Our results illustrate both the promise and the pitfalls of this approach. Scanning electron microscopy confirms a</w:t>
      </w:r>
      <w:r>
        <w:t xml:space="preserve">ccordion-like </w:t>
      </w:r>
      <w:proofErr w:type="spellStart"/>
      <w:r>
        <w:t>MXene</w:t>
      </w:r>
      <w:proofErr w:type="spellEnd"/>
      <w:r>
        <w:t xml:space="preserve"> morphologies, as shown in Fig. 1,</w:t>
      </w:r>
      <w:r>
        <w:t xml:space="preserve"> with expanded interlayer spacing, and Raman spectroscopy verifies substantial A-element removal and preservation of the Mₙ₊₁Xₙ framework. However, extended etching times and relatively high anodic potentials inevitably introduce defects a</w:t>
      </w:r>
      <w:r>
        <w:t xml:space="preserve">nd promote local over-oxidation - </w:t>
      </w:r>
      <w:r>
        <w:t>limitations that underscore the narrow margin between incomplete etching and excessive oxidation.</w:t>
      </w:r>
    </w:p>
    <w:p w:rsidR="000576E3" w:rsidRDefault="000576E3" w:rsidP="001E0886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124460</wp:posOffset>
                </wp:positionV>
                <wp:extent cx="2371725" cy="2200275"/>
                <wp:effectExtent l="0" t="0" r="9525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76E3" w:rsidRDefault="000576E3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napToGrid/>
                              </w:rPr>
                              <w:drawing>
                                <wp:inline distT="0" distB="0" distL="0" distR="0" wp14:anchorId="24D10835" wp14:editId="37327AA5">
                                  <wp:extent cx="2009775" cy="1695450"/>
                                  <wp:effectExtent l="0" t="0" r="9525" b="0"/>
                                  <wp:docPr id="1" name="Obraz 1" descr="C:\Users\Katarzyna\AppData\Local\Microsoft\Windows\INetCache\Content.Word\Obraz1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Obraz 1" descr="C:\Users\Katarzyna\AppData\Local\Microsoft\Windows\INetCache\Content.Word\Obraz1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9775" cy="1695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576E3" w:rsidRPr="000576E3" w:rsidRDefault="000576E3" w:rsidP="000576E3">
                            <w:pPr>
                              <w:jc w:val="both"/>
                            </w:pPr>
                            <w:r w:rsidRPr="0012504D">
                              <w:rPr>
                                <w:b/>
                              </w:rPr>
                              <w:t>Fig. 1</w:t>
                            </w:r>
                            <w:r>
                              <w:t xml:space="preserve"> SEM image of </w:t>
                            </w:r>
                            <w:proofErr w:type="spellStart"/>
                            <w:r>
                              <w:t>MXene</w:t>
                            </w:r>
                            <w:proofErr w:type="spellEnd"/>
                            <w:r>
                              <w:t xml:space="preserve"> obtained after electrochemical etching</w:t>
                            </w:r>
                            <w:r>
                              <w:t xml:space="preserve"> carried out in GC crucible.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5.65pt;margin-top:9.8pt;width:186.75pt;height:17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" stroked="f">
                <v:textbox>
                  <w:txbxContent>
                    <w:p w:rsidR="000576E3" w:rsidRDefault="000576E3">
                      <w:pPr>
                        <w:rPr>
                          <w:lang w:val="pl-PL"/>
                        </w:rPr>
                      </w:pPr>
                      <w:r>
                        <w:rPr>
                          <w:noProof/>
                          <w:snapToGrid/>
                        </w:rPr>
                        <w:drawing>
                          <wp:inline distT="0" distB="0" distL="0" distR="0" wp14:anchorId="24D10835" wp14:editId="37327AA5">
                            <wp:extent cx="2009775" cy="1695450"/>
                            <wp:effectExtent l="0" t="0" r="9525" b="0"/>
                            <wp:docPr id="1" name="Obraz 1" descr="C:\Users\Katarzyna\AppData\Local\Microsoft\Windows\INetCache\Content.Word\Obraz1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Obraz 1" descr="C:\Users\Katarzyna\AppData\Local\Microsoft\Windows\INetCache\Content.Word\Obraz1.jp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9775" cy="1695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576E3" w:rsidRPr="000576E3" w:rsidRDefault="000576E3" w:rsidP="000576E3">
                      <w:pPr>
                        <w:jc w:val="both"/>
                      </w:pPr>
                      <w:r w:rsidRPr="0012504D">
                        <w:rPr>
                          <w:b/>
                        </w:rPr>
                        <w:t>Fig. 1</w:t>
                      </w:r>
                      <w:r>
                        <w:t xml:space="preserve"> SEM image of </w:t>
                      </w:r>
                      <w:proofErr w:type="spellStart"/>
                      <w:r>
                        <w:t>MXene</w:t>
                      </w:r>
                      <w:proofErr w:type="spellEnd"/>
                      <w:r>
                        <w:t xml:space="preserve"> obtained after electrochemical etching</w:t>
                      </w:r>
                      <w:r>
                        <w:t xml:space="preserve"> carried out in GC crucible.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E0886" w:rsidRDefault="001E0886" w:rsidP="001E0886">
      <w:pPr>
        <w:jc w:val="both"/>
      </w:pPr>
      <w:r>
        <w:t xml:space="preserve">By contextualizing these findings within the broader electrochemical etching literature, we critically assess the advantages (HF-free operation, potential </w:t>
      </w:r>
      <w:proofErr w:type="spellStart"/>
      <w:r>
        <w:t>tunability</w:t>
      </w:r>
      <w:proofErr w:type="spellEnd"/>
      <w:r>
        <w:t xml:space="preserve">, access to diverse surface terminations, improved safety) against the drawbacks (defect-rich products, competing oxidation reactions, sensitivity to electrolyte parameters). We propose that three-electrode configurations with glassy-carbon working vessels offer a robust platform for systematically mapping the etching window across potential, time, and electrolyte variables, thereby enabling rational optimization of protocols that can realistically rival conventional HF methods in safety and </w:t>
      </w:r>
      <w:proofErr w:type="spellStart"/>
      <w:r>
        <w:t>MXene</w:t>
      </w:r>
      <w:proofErr w:type="spellEnd"/>
      <w:r>
        <w:t xml:space="preserve"> quality.</w:t>
      </w:r>
      <w:r>
        <w:t xml:space="preserve"> </w:t>
      </w:r>
    </w:p>
    <w:p w:rsidR="001E0886" w:rsidRDefault="001E0886" w:rsidP="001E0886">
      <w:pPr>
        <w:jc w:val="both"/>
      </w:pPr>
    </w:p>
    <w:p w:rsidR="000576E3" w:rsidRDefault="000576E3" w:rsidP="00E0716D">
      <w:pPr>
        <w:jc w:val="both"/>
      </w:pPr>
    </w:p>
    <w:p w:rsidR="000576E3" w:rsidRDefault="000576E3" w:rsidP="00E0716D">
      <w:pPr>
        <w:jc w:val="both"/>
      </w:pPr>
    </w:p>
    <w:p w:rsidR="000576E3" w:rsidRDefault="000576E3" w:rsidP="00E0716D">
      <w:pPr>
        <w:jc w:val="both"/>
      </w:pPr>
    </w:p>
    <w:p w:rsidR="0012504D" w:rsidRDefault="0012504D" w:rsidP="00E0716D">
      <w:pPr>
        <w:jc w:val="both"/>
      </w:pPr>
      <w:r>
        <w:t xml:space="preserve">[1] </w:t>
      </w:r>
      <w:r w:rsidRPr="0012504D">
        <w:t xml:space="preserve">D.‑S. </w:t>
      </w:r>
      <w:proofErr w:type="spellStart"/>
      <w:r w:rsidRPr="0012504D">
        <w:t>Kouao</w:t>
      </w:r>
      <w:proofErr w:type="spellEnd"/>
      <w:r w:rsidRPr="0012504D">
        <w:t xml:space="preserve">, K. Siuzdak, Electrochemical synthesis of </w:t>
      </w:r>
      <w:proofErr w:type="spellStart"/>
      <w:r w:rsidRPr="0012504D">
        <w:t>MXenes</w:t>
      </w:r>
      <w:proofErr w:type="spellEnd"/>
      <w:r w:rsidRPr="0012504D">
        <w:t>: a promising leap beyond hydrothermal MAX phase etching, 2D Materials 13 (2026) 012003</w:t>
      </w:r>
    </w:p>
    <w:p w:rsidR="0012504D" w:rsidRDefault="0012504D" w:rsidP="00E0716D">
      <w:pPr>
        <w:jc w:val="both"/>
      </w:pPr>
    </w:p>
    <w:p w:rsidR="00E0716D" w:rsidRDefault="001E0886" w:rsidP="00E0716D">
      <w:pPr>
        <w:jc w:val="both"/>
      </w:pPr>
      <w:proofErr w:type="spellStart"/>
      <w:r>
        <w:t>Ackowledgement</w:t>
      </w:r>
      <w:proofErr w:type="spellEnd"/>
      <w:r>
        <w:t xml:space="preserve">: </w:t>
      </w:r>
      <w:r w:rsidRPr="001E0886">
        <w:t>This work was financially supported by the National Science Centre (Poland) via M-ERA.NET grant no.: 2024/06/Y/ST11/00223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004"/>
    <w:rsid w:val="00041EFD"/>
    <w:rsid w:val="000576E3"/>
    <w:rsid w:val="0012504D"/>
    <w:rsid w:val="001E0886"/>
    <w:rsid w:val="00325004"/>
    <w:rsid w:val="00536366"/>
    <w:rsid w:val="00685C1A"/>
    <w:rsid w:val="00C40740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300"/>
  <w15:docId w15:val="{057D361D-0415-414C-A082-DBA98287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Katarzyna Siuzdak</cp:lastModifiedBy>
  <cp:revision>2</cp:revision>
  <cp:lastPrinted>2013-10-21T12:07:00Z</cp:lastPrinted>
  <dcterms:created xsi:type="dcterms:W3CDTF">2026-04-29T12:01:00Z</dcterms:created>
  <dcterms:modified xsi:type="dcterms:W3CDTF">2026-04-29T12:01:00Z</dcterms:modified>
</cp:coreProperties>
</file>