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1616" w:rsidRDefault="00341616" w:rsidP="00E0716D">
      <w:pPr>
        <w:jc w:val="center"/>
        <w:rPr>
          <w:b/>
          <w:sz w:val="28"/>
        </w:rPr>
      </w:pPr>
      <w:r w:rsidRPr="00341616">
        <w:rPr>
          <w:b/>
          <w:sz w:val="28"/>
        </w:rPr>
        <w:t xml:space="preserve">Nanostructured Electrodes for Consistent Electrochemistry </w:t>
      </w:r>
    </w:p>
    <w:p w:rsidR="00325004" w:rsidRPr="00347B6E" w:rsidRDefault="00341616" w:rsidP="00E0716D">
      <w:pPr>
        <w:jc w:val="center"/>
        <w:rPr>
          <w:b/>
          <w:sz w:val="28"/>
          <w:lang w:val="en-GB"/>
        </w:rPr>
      </w:pPr>
      <w:r w:rsidRPr="00347B6E">
        <w:rPr>
          <w:b/>
          <w:sz w:val="28"/>
          <w:lang w:val="en-GB"/>
        </w:rPr>
        <w:t>in Liquid-Phase TEM</w:t>
      </w:r>
    </w:p>
    <w:p w:rsidR="00325004" w:rsidRPr="00347B6E" w:rsidRDefault="00325004" w:rsidP="00E0716D">
      <w:pPr>
        <w:jc w:val="center"/>
        <w:rPr>
          <w:b/>
          <w:sz w:val="28"/>
          <w:lang w:val="en-GB"/>
        </w:rPr>
      </w:pPr>
    </w:p>
    <w:p w:rsidR="00325004" w:rsidRDefault="00341616" w:rsidP="00E0716D">
      <w:pPr>
        <w:jc w:val="center"/>
        <w:rPr>
          <w:vertAlign w:val="superscript"/>
          <w:lang w:val="it-IT"/>
        </w:rPr>
      </w:pPr>
      <w:r w:rsidRPr="00341616">
        <w:rPr>
          <w:u w:val="single"/>
          <w:lang w:val="it-IT"/>
        </w:rPr>
        <w:t xml:space="preserve">Mara Serrapede </w:t>
      </w:r>
      <w:r w:rsidRPr="00341616">
        <w:rPr>
          <w:u w:val="single"/>
          <w:vertAlign w:val="superscript"/>
          <w:lang w:val="it-IT"/>
        </w:rPr>
        <w:t>* a, b</w:t>
      </w:r>
      <w:r w:rsidRPr="00341616">
        <w:rPr>
          <w:u w:val="single"/>
          <w:lang w:val="it-IT"/>
        </w:rPr>
        <w:t>,</w:t>
      </w:r>
      <w:r w:rsidRPr="00341616">
        <w:rPr>
          <w:lang w:val="it-IT"/>
        </w:rPr>
        <w:t xml:space="preserve"> Cecilia Irene </w:t>
      </w:r>
      <w:proofErr w:type="spellStart"/>
      <w:r w:rsidRPr="00341616">
        <w:rPr>
          <w:lang w:val="it-IT"/>
        </w:rPr>
        <w:t>Gho</w:t>
      </w:r>
      <w:proofErr w:type="spellEnd"/>
      <w:r w:rsidRPr="00341616">
        <w:rPr>
          <w:lang w:val="it-IT"/>
        </w:rPr>
        <w:t xml:space="preserve"> </w:t>
      </w:r>
      <w:r w:rsidRPr="00341616">
        <w:rPr>
          <w:vertAlign w:val="superscript"/>
          <w:lang w:val="it-IT"/>
        </w:rPr>
        <w:t>b</w:t>
      </w:r>
      <w:r w:rsidRPr="00341616">
        <w:rPr>
          <w:lang w:val="it-IT"/>
        </w:rPr>
        <w:t xml:space="preserve">, </w:t>
      </w:r>
      <w:proofErr w:type="spellStart"/>
      <w:r w:rsidRPr="00341616">
        <w:rPr>
          <w:lang w:val="it-IT"/>
        </w:rPr>
        <w:t>Katarzyna</w:t>
      </w:r>
      <w:proofErr w:type="spellEnd"/>
      <w:r w:rsidRPr="00341616">
        <w:rPr>
          <w:lang w:val="it-IT"/>
        </w:rPr>
        <w:t xml:space="preserve"> </w:t>
      </w:r>
      <w:proofErr w:type="spellStart"/>
      <w:r w:rsidRPr="00341616">
        <w:rPr>
          <w:lang w:val="it-IT"/>
        </w:rPr>
        <w:t>Bejtka</w:t>
      </w:r>
      <w:proofErr w:type="spellEnd"/>
      <w:r w:rsidRPr="00341616">
        <w:rPr>
          <w:lang w:val="it-IT"/>
        </w:rPr>
        <w:t xml:space="preserve"> </w:t>
      </w:r>
      <w:r w:rsidRPr="00341616">
        <w:rPr>
          <w:vertAlign w:val="superscript"/>
          <w:lang w:val="it-IT"/>
        </w:rPr>
        <w:t>a, b</w:t>
      </w:r>
      <w:r w:rsidRPr="00341616">
        <w:rPr>
          <w:lang w:val="it-IT"/>
        </w:rPr>
        <w:t xml:space="preserve">, Marco Fontana </w:t>
      </w:r>
      <w:r w:rsidRPr="00341616">
        <w:rPr>
          <w:vertAlign w:val="superscript"/>
          <w:lang w:val="it-IT"/>
        </w:rPr>
        <w:t>a, b</w:t>
      </w:r>
      <w:r w:rsidRPr="00341616">
        <w:rPr>
          <w:lang w:val="it-IT"/>
        </w:rPr>
        <w:t xml:space="preserve">, Pietro Zaccagnini </w:t>
      </w:r>
      <w:r w:rsidRPr="00341616">
        <w:rPr>
          <w:vertAlign w:val="superscript"/>
          <w:lang w:val="it-IT"/>
        </w:rPr>
        <w:t>a, b</w:t>
      </w:r>
      <w:r w:rsidRPr="00341616">
        <w:rPr>
          <w:lang w:val="it-IT"/>
        </w:rPr>
        <w:t xml:space="preserve">, Andrea Lamberti </w:t>
      </w:r>
      <w:r w:rsidRPr="00341616">
        <w:rPr>
          <w:vertAlign w:val="superscript"/>
          <w:lang w:val="it-IT"/>
        </w:rPr>
        <w:t>a, b</w:t>
      </w:r>
      <w:r w:rsidRPr="00341616">
        <w:rPr>
          <w:lang w:val="it-IT"/>
        </w:rPr>
        <w:t xml:space="preserve">, Fabrizio Candido Pirri </w:t>
      </w:r>
      <w:r w:rsidRPr="00341616">
        <w:rPr>
          <w:vertAlign w:val="superscript"/>
          <w:lang w:val="it-IT"/>
        </w:rPr>
        <w:t>a, b</w:t>
      </w:r>
      <w:r w:rsidRPr="00341616">
        <w:rPr>
          <w:lang w:val="it-IT"/>
        </w:rPr>
        <w:t xml:space="preserve">, </w:t>
      </w:r>
      <w:proofErr w:type="spellStart"/>
      <w:r w:rsidRPr="00341616">
        <w:rPr>
          <w:lang w:val="it-IT"/>
        </w:rPr>
        <w:t>Guy</w:t>
      </w:r>
      <w:proofErr w:type="spellEnd"/>
      <w:r w:rsidRPr="00341616">
        <w:rPr>
          <w:lang w:val="it-IT"/>
        </w:rPr>
        <w:t xml:space="preserve"> Denuault </w:t>
      </w:r>
      <w:r w:rsidRPr="00341616">
        <w:rPr>
          <w:vertAlign w:val="superscript"/>
          <w:lang w:val="it-IT"/>
        </w:rPr>
        <w:t>c</w:t>
      </w:r>
      <w:r w:rsidRPr="00341616">
        <w:rPr>
          <w:lang w:val="it-IT"/>
        </w:rPr>
        <w:t xml:space="preserve"> and Angelica Chiodoni </w:t>
      </w:r>
      <w:r w:rsidRPr="00341616">
        <w:rPr>
          <w:vertAlign w:val="superscript"/>
          <w:lang w:val="it-IT"/>
        </w:rPr>
        <w:t>b</w:t>
      </w:r>
    </w:p>
    <w:p w:rsidR="00341616" w:rsidRPr="00341616" w:rsidRDefault="00341616" w:rsidP="00E0716D">
      <w:pPr>
        <w:jc w:val="center"/>
        <w:rPr>
          <w:lang w:val="it-IT"/>
        </w:rPr>
      </w:pPr>
    </w:p>
    <w:p w:rsidR="00341616" w:rsidRPr="00341616" w:rsidRDefault="00341616" w:rsidP="00341616">
      <w:pPr>
        <w:jc w:val="center"/>
        <w:rPr>
          <w:i/>
          <w:lang w:val="it-IT"/>
        </w:rPr>
      </w:pPr>
      <w:r w:rsidRPr="00341616">
        <w:rPr>
          <w:i/>
          <w:lang w:val="it-IT"/>
        </w:rPr>
        <w:t xml:space="preserve">a Politecnico di Torino, Dipartimento di Scienza Applicata e Tecnologia (DISAT), Corso Duca Degli Abruzzi, 24, 10129, </w:t>
      </w:r>
      <w:proofErr w:type="spellStart"/>
      <w:r w:rsidRPr="00341616">
        <w:rPr>
          <w:i/>
          <w:lang w:val="it-IT"/>
        </w:rPr>
        <w:t>Turin</w:t>
      </w:r>
      <w:proofErr w:type="spellEnd"/>
      <w:r w:rsidRPr="00341616">
        <w:rPr>
          <w:i/>
          <w:lang w:val="it-IT"/>
        </w:rPr>
        <w:t xml:space="preserve">, </w:t>
      </w:r>
      <w:proofErr w:type="spellStart"/>
      <w:r w:rsidRPr="00341616">
        <w:rPr>
          <w:i/>
          <w:lang w:val="it-IT"/>
        </w:rPr>
        <w:t>Italy</w:t>
      </w:r>
      <w:proofErr w:type="spellEnd"/>
      <w:r w:rsidRPr="00341616">
        <w:rPr>
          <w:i/>
          <w:lang w:val="it-IT"/>
        </w:rPr>
        <w:t xml:space="preserve"> </w:t>
      </w:r>
    </w:p>
    <w:p w:rsidR="00341616" w:rsidRPr="00341616" w:rsidRDefault="00341616" w:rsidP="00341616">
      <w:pPr>
        <w:jc w:val="center"/>
        <w:rPr>
          <w:i/>
          <w:lang w:val="it-IT"/>
        </w:rPr>
      </w:pPr>
      <w:r w:rsidRPr="00341616">
        <w:rPr>
          <w:i/>
          <w:lang w:val="it-IT"/>
        </w:rPr>
        <w:t xml:space="preserve">b Istituto Italiano di Tecnologia, Center for </w:t>
      </w:r>
      <w:proofErr w:type="spellStart"/>
      <w:r w:rsidRPr="00341616">
        <w:rPr>
          <w:i/>
          <w:lang w:val="it-IT"/>
        </w:rPr>
        <w:t>Sustainable</w:t>
      </w:r>
      <w:proofErr w:type="spellEnd"/>
      <w:r w:rsidRPr="00341616">
        <w:rPr>
          <w:i/>
          <w:lang w:val="it-IT"/>
        </w:rPr>
        <w:t xml:space="preserve"> Future Technologies, Via Livorno 60, 10144, </w:t>
      </w:r>
      <w:proofErr w:type="spellStart"/>
      <w:r w:rsidRPr="00341616">
        <w:rPr>
          <w:i/>
          <w:lang w:val="it-IT"/>
        </w:rPr>
        <w:t>Turin</w:t>
      </w:r>
      <w:proofErr w:type="spellEnd"/>
      <w:r w:rsidRPr="00341616">
        <w:rPr>
          <w:i/>
          <w:lang w:val="it-IT"/>
        </w:rPr>
        <w:t xml:space="preserve">, </w:t>
      </w:r>
      <w:proofErr w:type="spellStart"/>
      <w:r w:rsidRPr="00341616">
        <w:rPr>
          <w:i/>
          <w:lang w:val="it-IT"/>
        </w:rPr>
        <w:t>Italy</w:t>
      </w:r>
      <w:proofErr w:type="spellEnd"/>
      <w:r w:rsidRPr="00341616">
        <w:rPr>
          <w:i/>
          <w:lang w:val="it-IT"/>
        </w:rPr>
        <w:t xml:space="preserve"> </w:t>
      </w:r>
    </w:p>
    <w:p w:rsidR="00325004" w:rsidRPr="00341616" w:rsidRDefault="00341616" w:rsidP="00341616">
      <w:pPr>
        <w:jc w:val="center"/>
        <w:rPr>
          <w:i/>
        </w:rPr>
      </w:pPr>
      <w:r w:rsidRPr="00341616">
        <w:rPr>
          <w:i/>
        </w:rPr>
        <w:t>c School of Chemistry, University of Southampton, SO17 1BJ, Southampton, UK</w:t>
      </w:r>
    </w:p>
    <w:p w:rsidR="00341616" w:rsidRDefault="00341616" w:rsidP="00E0716D">
      <w:pPr>
        <w:jc w:val="center"/>
        <w:rPr>
          <w:i/>
        </w:rPr>
      </w:pPr>
    </w:p>
    <w:p w:rsidR="00685C1A" w:rsidRPr="00685C1A" w:rsidRDefault="00341616" w:rsidP="00E0716D">
      <w:pPr>
        <w:jc w:val="center"/>
        <w:rPr>
          <w:i/>
        </w:rPr>
      </w:pPr>
      <w:r>
        <w:rPr>
          <w:i/>
        </w:rPr>
        <w:t>mara.serrapede@polito.it</w:t>
      </w:r>
    </w:p>
    <w:p w:rsidR="00325004" w:rsidRDefault="00325004" w:rsidP="00E0716D">
      <w:pPr>
        <w:jc w:val="center"/>
      </w:pPr>
    </w:p>
    <w:p w:rsidR="00341616" w:rsidRDefault="00341616" w:rsidP="00341616">
      <w:pPr>
        <w:jc w:val="both"/>
      </w:pPr>
      <w:r>
        <w:t>Electrochemical devices are central to energy conversion, storage, catalysis, and sensing, motivating the development of operando techniques such as electrochemical liquid-phase transmission electron microscopy (EC-LPTEM). However, the miniaturized electrochemical platforms used in EC-LPTEM suffer from severe geometrical constraints that limit the implementation of stable reference and counter electrodes. Conventional reference electrodes cannot be easily miniaturized, and on-chip quasi-reference electrodes often show poor potential stability due to confined volumes, changing electrolyte composition, and beam-induced effects. Counter electrodes, meanwhile, typically have limited electroactive area, leading to high polarization and parasitic reactions that hinder accurate measurements.</w:t>
      </w:r>
    </w:p>
    <w:p w:rsidR="00341616" w:rsidRDefault="00341616" w:rsidP="00341616">
      <w:pPr>
        <w:jc w:val="both"/>
      </w:pPr>
      <w:r>
        <w:t>Here, we present a robust strategy based on molecular-template-assisted electrodeposition of metallic thin films to nanostructure both reference and counter electrodes. This approach significantly increases electroactive area without altering the electrode footprint, while maintaining compatibility with EC-LPTEM spatial constraints. The nanostructured counter electrode shows dramatically reduced polarization (from &gt;3 V to ~50 mV), and the reference electrode exhibits improved potential stability, enabling clearer and more reliable electrochemical measurements. Overall, this method provides stable electrochemical control in EC-LPTEM and other highly confined environments, paving the way for more reliable operando electrochemistry.</w:t>
      </w:r>
    </w:p>
    <w:p w:rsidR="00341616" w:rsidRDefault="00341616" w:rsidP="00341616">
      <w:pPr>
        <w:jc w:val="both"/>
      </w:pPr>
      <w:bookmarkStart w:id="0" w:name="_GoBack"/>
      <w:bookmarkEnd w:id="0"/>
    </w:p>
    <w:p w:rsidR="00341616" w:rsidRDefault="00341616" w:rsidP="00341616">
      <w:pPr>
        <w:jc w:val="both"/>
      </w:pPr>
      <w:r>
        <w:t xml:space="preserve">[1] R. M. </w:t>
      </w:r>
      <w:proofErr w:type="spellStart"/>
      <w:r>
        <w:t>Wittman</w:t>
      </w:r>
      <w:proofErr w:type="spellEnd"/>
      <w:r>
        <w:t xml:space="preserve">, R. L. </w:t>
      </w:r>
      <w:proofErr w:type="spellStart"/>
      <w:r>
        <w:t>Sacci</w:t>
      </w:r>
      <w:proofErr w:type="spellEnd"/>
      <w:r>
        <w:t xml:space="preserve">, R. R. </w:t>
      </w:r>
      <w:proofErr w:type="spellStart"/>
      <w:r>
        <w:t>Unocic</w:t>
      </w:r>
      <w:proofErr w:type="spellEnd"/>
      <w:r>
        <w:t xml:space="preserve"> and T. A. </w:t>
      </w:r>
      <w:proofErr w:type="spellStart"/>
      <w:r>
        <w:t>Zawodzinski</w:t>
      </w:r>
      <w:proofErr w:type="spellEnd"/>
      <w:r>
        <w:t xml:space="preserve">, J. </w:t>
      </w:r>
      <w:proofErr w:type="spellStart"/>
      <w:r>
        <w:t>Electrochem</w:t>
      </w:r>
      <w:proofErr w:type="spellEnd"/>
      <w:r>
        <w:t xml:space="preserve">. Soc. 171 126504 (2024). </w:t>
      </w:r>
    </w:p>
    <w:p w:rsidR="00341616" w:rsidRDefault="00341616" w:rsidP="00341616">
      <w:pPr>
        <w:jc w:val="both"/>
      </w:pPr>
      <w:r>
        <w:t xml:space="preserve">[2] S. </w:t>
      </w:r>
      <w:proofErr w:type="spellStart"/>
      <w:r>
        <w:t>Choudhary</w:t>
      </w:r>
      <w:proofErr w:type="spellEnd"/>
      <w:r>
        <w:t xml:space="preserve">, K. </w:t>
      </w:r>
      <w:proofErr w:type="spellStart"/>
      <w:r>
        <w:t>Marusak</w:t>
      </w:r>
      <w:proofErr w:type="spellEnd"/>
      <w:r>
        <w:t xml:space="preserve">, T. Eldred, and R. G. Kelly, J. </w:t>
      </w:r>
      <w:proofErr w:type="spellStart"/>
      <w:r>
        <w:t>Electrochem</w:t>
      </w:r>
      <w:proofErr w:type="spellEnd"/>
      <w:r>
        <w:t>. Soc. 169, 111505 (2022).</w:t>
      </w:r>
    </w:p>
    <w:p w:rsidR="00341616" w:rsidRDefault="00341616" w:rsidP="00341616">
      <w:pPr>
        <w:jc w:val="both"/>
      </w:pPr>
      <w:r>
        <w:t xml:space="preserve">[3] J </w:t>
      </w:r>
      <w:proofErr w:type="spellStart"/>
      <w:r>
        <w:t>Hou</w:t>
      </w:r>
      <w:proofErr w:type="spellEnd"/>
      <w:r>
        <w:t xml:space="preserve">, R. </w:t>
      </w:r>
      <w:proofErr w:type="spellStart"/>
      <w:r>
        <w:t>Girod</w:t>
      </w:r>
      <w:proofErr w:type="spellEnd"/>
      <w:r>
        <w:t xml:space="preserve">, N. </w:t>
      </w:r>
      <w:proofErr w:type="spellStart"/>
      <w:r>
        <w:t>Nianias</w:t>
      </w:r>
      <w:proofErr w:type="spellEnd"/>
      <w:r>
        <w:t xml:space="preserve">, T.-H. Shen, J. Fan, and V. </w:t>
      </w:r>
      <w:proofErr w:type="spellStart"/>
      <w:r>
        <w:t>Tileli</w:t>
      </w:r>
      <w:proofErr w:type="spellEnd"/>
      <w:r>
        <w:t xml:space="preserve">, J. </w:t>
      </w:r>
      <w:proofErr w:type="spellStart"/>
      <w:r>
        <w:t>Electrochem</w:t>
      </w:r>
      <w:proofErr w:type="spellEnd"/>
      <w:r>
        <w:t>. Soc. 167, 110515, (2020).</w:t>
      </w:r>
    </w:p>
    <w:p w:rsidR="00341616" w:rsidRDefault="00341616" w:rsidP="00341616">
      <w:pPr>
        <w:jc w:val="both"/>
      </w:pPr>
      <w:r>
        <w:t xml:space="preserve">[4] Z. Cui and W. Sheng, ACS </w:t>
      </w:r>
      <w:proofErr w:type="spellStart"/>
      <w:r>
        <w:t>Catal</w:t>
      </w:r>
      <w:proofErr w:type="spellEnd"/>
      <w:r>
        <w:t>. 13, 2534–2541 (2023).</w:t>
      </w:r>
    </w:p>
    <w:p w:rsidR="00325004" w:rsidRDefault="00341616" w:rsidP="00341616">
      <w:pPr>
        <w:jc w:val="both"/>
      </w:pPr>
      <w:r>
        <w:t xml:space="preserve">[5] M. Serrapede, G. L. </w:t>
      </w:r>
      <w:proofErr w:type="spellStart"/>
      <w:r>
        <w:t>Pesce</w:t>
      </w:r>
      <w:proofErr w:type="spellEnd"/>
      <w:r>
        <w:t>, R. J. Ball, and G. Denuault, Anal. Chem. 86, 5758–5765 (2014).</w:t>
      </w:r>
    </w:p>
    <w:p w:rsidR="00325004" w:rsidRDefault="00325004" w:rsidP="00E0716D">
      <w:pPr>
        <w:jc w:val="both"/>
      </w:pPr>
    </w:p>
    <w:p w:rsidR="00E0716D" w:rsidRDefault="00E0716D" w:rsidP="00347B6E">
      <w:pPr>
        <w:jc w:val="center"/>
      </w:pP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004"/>
    <w:rsid w:val="00041EFD"/>
    <w:rsid w:val="00325004"/>
    <w:rsid w:val="00341616"/>
    <w:rsid w:val="00347B6E"/>
    <w:rsid w:val="004C2839"/>
    <w:rsid w:val="00536366"/>
    <w:rsid w:val="00685C1A"/>
    <w:rsid w:val="00B545B8"/>
    <w:rsid w:val="00D15019"/>
    <w:rsid w:val="00E0716D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D3199717-ADBD-49B1-BA93-EEE2FD8BC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0716D"/>
    <w:pPr>
      <w:widowControl w:val="0"/>
    </w:pPr>
    <w:rPr>
      <w:snapToGrid w:val="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394</Words>
  <Characters>2248</Characters>
  <Application>Microsoft Office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Mara Serrapede</cp:lastModifiedBy>
  <cp:revision>5</cp:revision>
  <cp:lastPrinted>2013-10-21T12:07:00Z</cp:lastPrinted>
  <dcterms:created xsi:type="dcterms:W3CDTF">2026-03-20T16:40:00Z</dcterms:created>
  <dcterms:modified xsi:type="dcterms:W3CDTF">2026-03-20T16:52:00Z</dcterms:modified>
</cp:coreProperties>
</file>