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42703" w14:textId="62CD3358" w:rsidR="00325004" w:rsidRPr="00A86EB9" w:rsidRDefault="002C2C2A" w:rsidP="00E0716D">
      <w:pPr>
        <w:jc w:val="center"/>
        <w:rPr>
          <w:b/>
          <w:sz w:val="28"/>
        </w:rPr>
      </w:pPr>
      <w:r w:rsidRPr="002C2C2A">
        <w:rPr>
          <w:b/>
          <w:sz w:val="28"/>
        </w:rPr>
        <w:t>Electrode-Material Effects on Ion Packing and Charging Dynamics in Ionic Liquid-Based Supercapacitors</w:t>
      </w:r>
    </w:p>
    <w:p w14:paraId="41A95756" w14:textId="77777777" w:rsidR="00325004" w:rsidRPr="00A86EB9" w:rsidRDefault="00325004" w:rsidP="00E0716D">
      <w:pPr>
        <w:jc w:val="center"/>
        <w:rPr>
          <w:b/>
          <w:sz w:val="28"/>
        </w:rPr>
      </w:pPr>
    </w:p>
    <w:p w14:paraId="18884F64" w14:textId="1EDE21B0" w:rsidR="00325004" w:rsidRPr="002C2C2A" w:rsidRDefault="002C2C2A" w:rsidP="00E0716D">
      <w:pPr>
        <w:jc w:val="center"/>
        <w:rPr>
          <w:lang w:val="pt-PT"/>
        </w:rPr>
      </w:pPr>
      <w:r w:rsidRPr="002C2C2A">
        <w:rPr>
          <w:u w:val="single"/>
          <w:lang w:val="pt-PT"/>
        </w:rPr>
        <w:t>I. V. Voroshylova</w:t>
      </w:r>
      <w:r w:rsidRPr="002C2C2A">
        <w:rPr>
          <w:u w:val="single"/>
          <w:vertAlign w:val="superscript"/>
          <w:lang w:val="pt-PT"/>
        </w:rPr>
        <w:t>a</w:t>
      </w:r>
      <w:r w:rsidR="00325004" w:rsidRPr="002C2C2A">
        <w:rPr>
          <w:lang w:val="pt-PT"/>
        </w:rPr>
        <w:t xml:space="preserve">, </w:t>
      </w:r>
      <w:r w:rsidRPr="002C2C2A">
        <w:rPr>
          <w:lang w:val="pt-PT"/>
        </w:rPr>
        <w:t>V. Koverga</w:t>
      </w:r>
      <w:r w:rsidRPr="002C2C2A">
        <w:rPr>
          <w:vertAlign w:val="superscript"/>
          <w:lang w:val="pt-PT"/>
        </w:rPr>
        <w:t>a</w:t>
      </w:r>
      <w:r w:rsidRPr="002C2C2A">
        <w:rPr>
          <w:lang w:val="pt-PT"/>
        </w:rPr>
        <w:t>, M. N. D. S. Cordeiro</w:t>
      </w:r>
      <w:r w:rsidRPr="002C2C2A">
        <w:rPr>
          <w:vertAlign w:val="superscript"/>
          <w:lang w:val="pt-PT"/>
        </w:rPr>
        <w:t>a</w:t>
      </w:r>
      <w:r w:rsidRPr="002C2C2A">
        <w:rPr>
          <w:lang w:val="pt-PT"/>
        </w:rPr>
        <w:t>, V. B. Ivanistsev</w:t>
      </w:r>
      <w:r w:rsidRPr="002C2C2A">
        <w:rPr>
          <w:vertAlign w:val="superscript"/>
          <w:lang w:val="pt-PT"/>
        </w:rPr>
        <w:t>b</w:t>
      </w:r>
    </w:p>
    <w:p w14:paraId="2F3AEF81" w14:textId="312760BC" w:rsidR="002C2C2A" w:rsidRPr="002C2C2A" w:rsidRDefault="002C2C2A" w:rsidP="002C2C2A">
      <w:pPr>
        <w:jc w:val="center"/>
        <w:rPr>
          <w:i/>
        </w:rPr>
      </w:pPr>
      <w:proofErr w:type="spellStart"/>
      <w:r w:rsidRPr="002C2C2A">
        <w:rPr>
          <w:i/>
          <w:vertAlign w:val="superscript"/>
        </w:rPr>
        <w:t>a</w:t>
      </w:r>
      <w:r w:rsidRPr="002C2C2A">
        <w:rPr>
          <w:i/>
        </w:rPr>
        <w:t>LAQV@REQUIMTE</w:t>
      </w:r>
      <w:proofErr w:type="spellEnd"/>
      <w:r w:rsidRPr="002C2C2A">
        <w:rPr>
          <w:i/>
        </w:rPr>
        <w:t>, Department of Chemistry and Biochemistry,</w:t>
      </w:r>
      <w:r>
        <w:rPr>
          <w:i/>
        </w:rPr>
        <w:t xml:space="preserve"> </w:t>
      </w:r>
      <w:r w:rsidRPr="002C2C2A">
        <w:rPr>
          <w:i/>
        </w:rPr>
        <w:t>Faculty of Sciences, University of Porto</w:t>
      </w:r>
      <w:r>
        <w:rPr>
          <w:i/>
        </w:rPr>
        <w:t>,</w:t>
      </w:r>
      <w:r w:rsidRPr="002C2C2A">
        <w:rPr>
          <w:i/>
        </w:rPr>
        <w:t xml:space="preserve"> </w:t>
      </w:r>
      <w:proofErr w:type="spellStart"/>
      <w:r w:rsidRPr="002C2C2A">
        <w:rPr>
          <w:i/>
        </w:rPr>
        <w:t>Rua</w:t>
      </w:r>
      <w:proofErr w:type="spellEnd"/>
      <w:r w:rsidRPr="002C2C2A">
        <w:rPr>
          <w:i/>
        </w:rPr>
        <w:t xml:space="preserve"> do Campo Alegre, 4169-007 Porto, Portugal</w:t>
      </w:r>
    </w:p>
    <w:p w14:paraId="59208477" w14:textId="77777777" w:rsidR="002C2C2A" w:rsidRDefault="002C2C2A" w:rsidP="002C2C2A">
      <w:pPr>
        <w:jc w:val="center"/>
        <w:rPr>
          <w:i/>
        </w:rPr>
      </w:pPr>
      <w:proofErr w:type="spellStart"/>
      <w:r w:rsidRPr="002C2C2A">
        <w:rPr>
          <w:i/>
          <w:vertAlign w:val="superscript"/>
        </w:rPr>
        <w:t>b</w:t>
      </w:r>
      <w:r w:rsidRPr="002C2C2A">
        <w:rPr>
          <w:i/>
        </w:rPr>
        <w:t>Department</w:t>
      </w:r>
      <w:proofErr w:type="spellEnd"/>
      <w:r w:rsidRPr="002C2C2A">
        <w:rPr>
          <w:i/>
        </w:rPr>
        <w:t xml:space="preserve"> of Chemistry, University of Latvia, </w:t>
      </w:r>
    </w:p>
    <w:p w14:paraId="405A7E4E" w14:textId="4EB6E29D" w:rsidR="00325004" w:rsidRPr="002C2C2A" w:rsidRDefault="002C2C2A" w:rsidP="002C2C2A">
      <w:pPr>
        <w:jc w:val="center"/>
        <w:rPr>
          <w:i/>
          <w:lang w:val="pt-PT"/>
        </w:rPr>
      </w:pPr>
      <w:r w:rsidRPr="002C2C2A">
        <w:rPr>
          <w:i/>
          <w:lang w:val="pt-PT"/>
        </w:rPr>
        <w:t>Jelgavas 1, Riga LV-1004, Latvia</w:t>
      </w:r>
    </w:p>
    <w:p w14:paraId="6C62047D" w14:textId="5EA00986" w:rsidR="00685C1A" w:rsidRPr="002C2C2A" w:rsidRDefault="002C2C2A" w:rsidP="00E0716D">
      <w:pPr>
        <w:jc w:val="center"/>
        <w:rPr>
          <w:i/>
        </w:rPr>
      </w:pPr>
      <w:r w:rsidRPr="002C2C2A">
        <w:rPr>
          <w:i/>
        </w:rPr>
        <w:t>voroshylova.iuliia@fc.up.pt</w:t>
      </w:r>
    </w:p>
    <w:p w14:paraId="0753140B" w14:textId="77777777" w:rsidR="00325004" w:rsidRPr="002C2C2A" w:rsidRDefault="00325004" w:rsidP="00E0716D">
      <w:pPr>
        <w:jc w:val="center"/>
      </w:pPr>
    </w:p>
    <w:p w14:paraId="3C0CB251" w14:textId="6B0EA94E" w:rsidR="002C2C2A" w:rsidRDefault="002C2C2A" w:rsidP="002C2C2A">
      <w:pPr>
        <w:jc w:val="both"/>
      </w:pPr>
      <w:r>
        <w:t>Electric double-layer capacitors (EDLCs) are promising energy-storage devices for applications requiring fast charge and discharge. Their performance is governed not only by electrolyte composition and pore geometry, but also by the intrinsic nature of the electrode material. Here, we present atomistic molecular dynamics simulations under constant-potential conditions to investigate how chemically and structurally different electrode materials control the microscopic charging mechanism of ionic liquid-based supercapacitors.</w:t>
      </w:r>
    </w:p>
    <w:p w14:paraId="4E219C53" w14:textId="77777777" w:rsidR="002C2C2A" w:rsidRDefault="002C2C2A" w:rsidP="002C2C2A">
      <w:pPr>
        <w:jc w:val="both"/>
      </w:pPr>
    </w:p>
    <w:p w14:paraId="7A770041" w14:textId="77777777" w:rsidR="002C2C2A" w:rsidRDefault="002C2C2A" w:rsidP="002C2C2A">
      <w:pPr>
        <w:jc w:val="both"/>
      </w:pPr>
      <w:r>
        <w:t>The model systems are based on slit-pore electrodes filled with 1-ethyl-3-methylimidazolium hexafluorophosphate. Carbon slit pores are used as reference electrodes.[1] They are compared with representative non-carbon electrode platforms: hexagonal boron nitride as a polar graphene analogue,[2] black phosphorene as an anisotropic puckered 2D material,[3] a TTF-based donor-acceptor covalent organic framework as an ordered organic porous electrode and, finally, the conductive metal-organic framework Ni3(HITP)2 as a crystalline porous electrode with intrinsic electronic conductivity.[4] By keeping the ionic liquid composition and general confinement geometry comparable, we isolate the role of electrode chemistry and pore topology in the structure and dynamics of the liquid under confinement. For each material, we analyzed ion density profiles, interfacial ion layering and orientation, as well as ion mobility and capacitance-potential behavior.</w:t>
      </w:r>
    </w:p>
    <w:p w14:paraId="4251B13A" w14:textId="77777777" w:rsidR="002C2C2A" w:rsidRDefault="002C2C2A" w:rsidP="002C2C2A">
      <w:pPr>
        <w:jc w:val="both"/>
      </w:pPr>
    </w:p>
    <w:p w14:paraId="5308E266" w14:textId="77777777" w:rsidR="002C2C2A" w:rsidRDefault="002C2C2A" w:rsidP="002C2C2A">
      <w:pPr>
        <w:jc w:val="both"/>
      </w:pPr>
      <w:r>
        <w:t>The simulations reveal distinct material-dependent charging regimes: reference carbon shows a dominated by ion packing and interfacial layering. In contrast, boron nitride induces more site-specific ion organization due to the polar B–N surface, while phosphorene promotes anisotropic lateral ordering and mobility. Organic framework-based systems introduce ordered ion-accessible channels where charge storage depends on the balance between selective adsorption and transport.</w:t>
      </w:r>
    </w:p>
    <w:p w14:paraId="16E24537" w14:textId="77777777" w:rsidR="002C2C2A" w:rsidRDefault="002C2C2A" w:rsidP="002C2C2A">
      <w:pPr>
        <w:jc w:val="both"/>
      </w:pPr>
    </w:p>
    <w:p w14:paraId="01860083" w14:textId="77777777" w:rsidR="002C2C2A" w:rsidRDefault="002C2C2A" w:rsidP="002C2C2A">
      <w:pPr>
        <w:jc w:val="both"/>
      </w:pPr>
      <w:r>
        <w:t>Our results support the idea that rational supercapacitor design should treat the electrode material and electrolyte as a coupled system. Instead of optimizing pore geometry alone, the chemical nature, surface polarity, anisotropy and structural regularity of the electrode should be considered central design descriptors for next-generation EDLCs.</w:t>
      </w:r>
    </w:p>
    <w:p w14:paraId="0CCE578B" w14:textId="77777777" w:rsidR="002C2C2A" w:rsidRDefault="002C2C2A" w:rsidP="002C2C2A">
      <w:pPr>
        <w:jc w:val="both"/>
      </w:pPr>
    </w:p>
    <w:p w14:paraId="203CBFBD" w14:textId="77777777" w:rsidR="002C2C2A" w:rsidRPr="002C2C2A" w:rsidRDefault="002C2C2A" w:rsidP="002C2C2A">
      <w:pPr>
        <w:jc w:val="both"/>
        <w:rPr>
          <w:b/>
          <w:bCs/>
        </w:rPr>
      </w:pPr>
      <w:r w:rsidRPr="002C2C2A">
        <w:rPr>
          <w:b/>
          <w:bCs/>
        </w:rPr>
        <w:t>Funding</w:t>
      </w:r>
    </w:p>
    <w:p w14:paraId="55946A09" w14:textId="77777777" w:rsidR="002C2C2A" w:rsidRDefault="002C2C2A" w:rsidP="002C2C2A">
      <w:pPr>
        <w:jc w:val="both"/>
      </w:pPr>
      <w:r>
        <w:t xml:space="preserve">This work received financial support from PT national funds (FCT/MECI, </w:t>
      </w:r>
      <w:proofErr w:type="spellStart"/>
      <w:r>
        <w:t>Fundação</w:t>
      </w:r>
      <w:proofErr w:type="spellEnd"/>
      <w:r>
        <w:t xml:space="preserve"> para a </w:t>
      </w:r>
      <w:proofErr w:type="spellStart"/>
      <w:r>
        <w:t>Ciência</w:t>
      </w:r>
      <w:proofErr w:type="spellEnd"/>
      <w:r>
        <w:t xml:space="preserve"> e </w:t>
      </w:r>
      <w:proofErr w:type="spellStart"/>
      <w:r>
        <w:t>Tecnologia</w:t>
      </w:r>
      <w:proofErr w:type="spellEnd"/>
      <w:r>
        <w:t xml:space="preserve"> and </w:t>
      </w:r>
      <w:proofErr w:type="spellStart"/>
      <w:r>
        <w:t>Ministério</w:t>
      </w:r>
      <w:proofErr w:type="spellEnd"/>
      <w:r>
        <w:t xml:space="preserve"> da </w:t>
      </w:r>
      <w:proofErr w:type="spellStart"/>
      <w:r>
        <w:t>Educação</w:t>
      </w:r>
      <w:proofErr w:type="spellEnd"/>
      <w:r>
        <w:t xml:space="preserve">, </w:t>
      </w:r>
      <w:proofErr w:type="spellStart"/>
      <w:r>
        <w:t>Ciência</w:t>
      </w:r>
      <w:proofErr w:type="spellEnd"/>
      <w:r>
        <w:t xml:space="preserve"> e </w:t>
      </w:r>
      <w:proofErr w:type="spellStart"/>
      <w:r>
        <w:t>Inovação</w:t>
      </w:r>
      <w:proofErr w:type="spellEnd"/>
      <w:r>
        <w:t>) through the project 2024.18148.PEX.</w:t>
      </w:r>
    </w:p>
    <w:p w14:paraId="39B4B3D6" w14:textId="77777777" w:rsidR="002C2C2A" w:rsidRDefault="002C2C2A" w:rsidP="002C2C2A">
      <w:pPr>
        <w:jc w:val="both"/>
      </w:pPr>
    </w:p>
    <w:p w14:paraId="6463E70A" w14:textId="77777777" w:rsidR="002C2C2A" w:rsidRPr="002C2C2A" w:rsidRDefault="002C2C2A" w:rsidP="002C2C2A">
      <w:pPr>
        <w:jc w:val="both"/>
        <w:rPr>
          <w:b/>
          <w:bCs/>
        </w:rPr>
      </w:pPr>
      <w:r w:rsidRPr="002C2C2A">
        <w:rPr>
          <w:b/>
          <w:bCs/>
        </w:rPr>
        <w:t>Acknowledgements</w:t>
      </w:r>
    </w:p>
    <w:p w14:paraId="19349B60" w14:textId="67A363B7" w:rsidR="00325004" w:rsidRDefault="002C2C2A" w:rsidP="002C2C2A">
      <w:pPr>
        <w:jc w:val="both"/>
      </w:pPr>
      <w:r>
        <w:t xml:space="preserve">Computational resources were provided by the National Network for Advanced Computing under project </w:t>
      </w:r>
      <w:proofErr w:type="gramStart"/>
      <w:r>
        <w:t>2025.09537.CPCA</w:t>
      </w:r>
      <w:proofErr w:type="gramEnd"/>
      <w:r>
        <w:t xml:space="preserve"> and by </w:t>
      </w:r>
      <w:proofErr w:type="spellStart"/>
      <w:r>
        <w:t>EuroHPC</w:t>
      </w:r>
      <w:proofErr w:type="spellEnd"/>
      <w:r>
        <w:t xml:space="preserve"> under project EHPC-DEV-2026D01-110</w:t>
      </w:r>
    </w:p>
    <w:p w14:paraId="12398041" w14:textId="77777777" w:rsidR="00325004" w:rsidRDefault="00325004" w:rsidP="00E0716D">
      <w:pPr>
        <w:jc w:val="both"/>
      </w:pPr>
    </w:p>
    <w:p w14:paraId="53B15F5D" w14:textId="77777777" w:rsidR="002C2C2A" w:rsidRPr="002C2C2A" w:rsidRDefault="002C2C2A" w:rsidP="002C2C2A">
      <w:pPr>
        <w:pStyle w:val="isselectedend"/>
        <w:spacing w:before="0" w:beforeAutospacing="0" w:after="0" w:afterAutospacing="0" w:line="276" w:lineRule="auto"/>
        <w:jc w:val="both"/>
        <w:rPr>
          <w:sz w:val="20"/>
          <w:szCs w:val="20"/>
        </w:rPr>
      </w:pPr>
      <w:r w:rsidRPr="002C2C2A">
        <w:rPr>
          <w:b/>
          <w:bCs/>
          <w:sz w:val="20"/>
          <w:szCs w:val="20"/>
        </w:rPr>
        <w:t>References</w:t>
      </w:r>
      <w:r w:rsidRPr="002C2C2A">
        <w:rPr>
          <w:sz w:val="20"/>
          <w:szCs w:val="20"/>
        </w:rPr>
        <w:br/>
      </w:r>
      <w:r w:rsidRPr="002C2C2A">
        <w:rPr>
          <w:rStyle w:val="text-token-text-primary"/>
          <w:sz w:val="20"/>
          <w:szCs w:val="20"/>
        </w:rPr>
        <w:t>[1]</w:t>
      </w:r>
      <w:r w:rsidRPr="002C2C2A">
        <w:rPr>
          <w:sz w:val="20"/>
          <w:szCs w:val="20"/>
        </w:rPr>
        <w:t xml:space="preserve"> </w:t>
      </w:r>
      <w:proofErr w:type="spellStart"/>
      <w:r w:rsidRPr="002C2C2A">
        <w:rPr>
          <w:sz w:val="20"/>
          <w:szCs w:val="20"/>
        </w:rPr>
        <w:t>Salemi</w:t>
      </w:r>
      <w:proofErr w:type="spellEnd"/>
      <w:r w:rsidRPr="002C2C2A">
        <w:rPr>
          <w:sz w:val="20"/>
          <w:szCs w:val="20"/>
        </w:rPr>
        <w:t xml:space="preserve">, S.; </w:t>
      </w:r>
      <w:proofErr w:type="spellStart"/>
      <w:r w:rsidRPr="002C2C2A">
        <w:rPr>
          <w:sz w:val="20"/>
          <w:szCs w:val="20"/>
        </w:rPr>
        <w:t>Parsafar</w:t>
      </w:r>
      <w:proofErr w:type="spellEnd"/>
      <w:r w:rsidRPr="002C2C2A">
        <w:rPr>
          <w:sz w:val="20"/>
          <w:szCs w:val="20"/>
        </w:rPr>
        <w:t xml:space="preserve">, G. A.; Sadeghi, R. Nano-confined ionic liquid </w:t>
      </w:r>
      <w:r w:rsidRPr="002C2C2A">
        <w:rPr>
          <w:rStyle w:val="text-token-text-primary"/>
          <w:sz w:val="20"/>
          <w:szCs w:val="20"/>
        </w:rPr>
        <w:t>[</w:t>
      </w:r>
      <w:proofErr w:type="spellStart"/>
      <w:r w:rsidRPr="002C2C2A">
        <w:rPr>
          <w:rStyle w:val="text-token-text-primary"/>
          <w:sz w:val="20"/>
          <w:szCs w:val="20"/>
        </w:rPr>
        <w:t>Emim</w:t>
      </w:r>
      <w:proofErr w:type="spellEnd"/>
      <w:r w:rsidRPr="002C2C2A">
        <w:rPr>
          <w:rStyle w:val="text-token-text-primary"/>
          <w:sz w:val="20"/>
          <w:szCs w:val="20"/>
        </w:rPr>
        <w:t>][PF</w:t>
      </w:r>
      <w:r w:rsidRPr="002C2C2A">
        <w:rPr>
          <w:rStyle w:val="text-token-text-primary"/>
          <w:sz w:val="20"/>
          <w:szCs w:val="20"/>
          <w:vertAlign w:val="subscript"/>
        </w:rPr>
        <w:t>6</w:t>
      </w:r>
      <w:r w:rsidRPr="002C2C2A">
        <w:rPr>
          <w:rStyle w:val="text-token-text-primary"/>
          <w:sz w:val="20"/>
          <w:szCs w:val="20"/>
        </w:rPr>
        <w:t>]</w:t>
      </w:r>
      <w:r w:rsidRPr="002C2C2A">
        <w:rPr>
          <w:sz w:val="20"/>
          <w:szCs w:val="20"/>
        </w:rPr>
        <w:t xml:space="preserve"> between graphite sheets: A molecular dynamics study. </w:t>
      </w:r>
      <w:r w:rsidRPr="002C2C2A">
        <w:rPr>
          <w:i/>
          <w:iCs/>
          <w:sz w:val="20"/>
          <w:szCs w:val="20"/>
        </w:rPr>
        <w:t>J. Mol. Liq.</w:t>
      </w:r>
      <w:r w:rsidRPr="002C2C2A">
        <w:rPr>
          <w:sz w:val="20"/>
          <w:szCs w:val="20"/>
        </w:rPr>
        <w:t>, 2016, 215, 512–519</w:t>
      </w:r>
    </w:p>
    <w:p w14:paraId="56A46619" w14:textId="77777777" w:rsidR="002C2C2A" w:rsidRPr="002C2C2A" w:rsidRDefault="002C2C2A" w:rsidP="002C2C2A">
      <w:pPr>
        <w:pStyle w:val="isselectedend"/>
        <w:spacing w:before="0" w:beforeAutospacing="0" w:after="0" w:afterAutospacing="0" w:line="276" w:lineRule="auto"/>
        <w:jc w:val="both"/>
        <w:rPr>
          <w:sz w:val="20"/>
          <w:szCs w:val="20"/>
          <w:lang w:val="pt-PT"/>
        </w:rPr>
      </w:pPr>
      <w:r w:rsidRPr="002C2C2A">
        <w:rPr>
          <w:rStyle w:val="text-token-text-primary"/>
          <w:sz w:val="20"/>
          <w:szCs w:val="20"/>
        </w:rPr>
        <w:t>[2]</w:t>
      </w:r>
      <w:r w:rsidRPr="002C2C2A">
        <w:rPr>
          <w:sz w:val="20"/>
          <w:szCs w:val="20"/>
        </w:rPr>
        <w:t xml:space="preserve"> </w:t>
      </w:r>
      <w:proofErr w:type="spellStart"/>
      <w:r w:rsidRPr="002C2C2A">
        <w:rPr>
          <w:sz w:val="20"/>
          <w:szCs w:val="20"/>
        </w:rPr>
        <w:t>Shakourian-Fard</w:t>
      </w:r>
      <w:proofErr w:type="spellEnd"/>
      <w:r w:rsidRPr="002C2C2A">
        <w:rPr>
          <w:sz w:val="20"/>
          <w:szCs w:val="20"/>
        </w:rPr>
        <w:t xml:space="preserve">, M.; Kamath, G.; </w:t>
      </w:r>
      <w:proofErr w:type="spellStart"/>
      <w:r w:rsidRPr="002C2C2A">
        <w:rPr>
          <w:sz w:val="20"/>
          <w:szCs w:val="20"/>
        </w:rPr>
        <w:t>Jamshidi</w:t>
      </w:r>
      <w:proofErr w:type="spellEnd"/>
      <w:r w:rsidRPr="002C2C2A">
        <w:rPr>
          <w:sz w:val="20"/>
          <w:szCs w:val="20"/>
        </w:rPr>
        <w:t xml:space="preserve">, Z. Trends in Physisorption of Ionic Liquids on Boron-Nitride Sheets. </w:t>
      </w:r>
      <w:r w:rsidRPr="002C2C2A">
        <w:rPr>
          <w:i/>
          <w:iCs/>
          <w:sz w:val="20"/>
          <w:szCs w:val="20"/>
          <w:lang w:val="pt-PT"/>
        </w:rPr>
        <w:t>J. Phys. Chem. C</w:t>
      </w:r>
      <w:r w:rsidRPr="002C2C2A">
        <w:rPr>
          <w:sz w:val="20"/>
          <w:szCs w:val="20"/>
          <w:lang w:val="pt-PT"/>
        </w:rPr>
        <w:t>, 2014, 118, 26003–26016</w:t>
      </w:r>
    </w:p>
    <w:p w14:paraId="7BEDBBD3" w14:textId="77777777" w:rsidR="002C2C2A" w:rsidRPr="002C2C2A" w:rsidRDefault="002C2C2A" w:rsidP="002C2C2A">
      <w:pPr>
        <w:pStyle w:val="isselectedend"/>
        <w:spacing w:before="0" w:beforeAutospacing="0" w:after="0" w:afterAutospacing="0" w:line="276" w:lineRule="auto"/>
        <w:jc w:val="both"/>
        <w:rPr>
          <w:sz w:val="20"/>
          <w:szCs w:val="20"/>
        </w:rPr>
      </w:pPr>
      <w:r w:rsidRPr="002C2C2A">
        <w:rPr>
          <w:rStyle w:val="text-token-text-primary"/>
          <w:sz w:val="20"/>
          <w:szCs w:val="20"/>
          <w:lang w:val="pt-PT"/>
        </w:rPr>
        <w:t>[3]</w:t>
      </w:r>
      <w:r w:rsidRPr="002C2C2A">
        <w:rPr>
          <w:sz w:val="20"/>
          <w:szCs w:val="20"/>
          <w:lang w:val="pt-PT"/>
        </w:rPr>
        <w:t xml:space="preserve"> da Silva, D. A. C. et al. </w:t>
      </w:r>
      <w:r w:rsidRPr="002C2C2A">
        <w:rPr>
          <w:sz w:val="20"/>
          <w:szCs w:val="20"/>
        </w:rPr>
        <w:t xml:space="preserve">Atomic-Scale Insights into Phosphorene-Ionic Liquid Interface with Ab Initio Molecular Dynamics. </w:t>
      </w:r>
      <w:r w:rsidRPr="002C2C2A">
        <w:rPr>
          <w:i/>
          <w:iCs/>
          <w:sz w:val="20"/>
          <w:szCs w:val="20"/>
        </w:rPr>
        <w:t>ACS Phys. Chem. Au</w:t>
      </w:r>
      <w:r w:rsidRPr="002C2C2A">
        <w:rPr>
          <w:sz w:val="20"/>
          <w:szCs w:val="20"/>
        </w:rPr>
        <w:t>, 2025, 6, 207–214</w:t>
      </w:r>
    </w:p>
    <w:p w14:paraId="4F70C436" w14:textId="6801AC25" w:rsidR="00E0716D" w:rsidRDefault="002C2C2A" w:rsidP="002C2C2A">
      <w:pPr>
        <w:pStyle w:val="NormalWeb"/>
        <w:spacing w:before="0" w:beforeAutospacing="0" w:after="0" w:afterAutospacing="0" w:line="276" w:lineRule="auto"/>
        <w:jc w:val="both"/>
      </w:pPr>
      <w:r w:rsidRPr="002C2C2A">
        <w:rPr>
          <w:rStyle w:val="text-token-text-primary"/>
          <w:sz w:val="20"/>
          <w:szCs w:val="20"/>
        </w:rPr>
        <w:t>[4]</w:t>
      </w:r>
      <w:r w:rsidRPr="002C2C2A">
        <w:rPr>
          <w:sz w:val="20"/>
          <w:szCs w:val="20"/>
        </w:rPr>
        <w:t xml:space="preserve"> Bi, S. et al. Molecular understanding of charge storage and charging dynamics in supercapacitors with MOF electrodes and ionic liquid electrolytes. </w:t>
      </w:r>
      <w:r w:rsidRPr="002C2C2A">
        <w:rPr>
          <w:i/>
          <w:iCs/>
          <w:sz w:val="20"/>
          <w:szCs w:val="20"/>
        </w:rPr>
        <w:t>Nat. Mater.</w:t>
      </w:r>
      <w:r w:rsidRPr="002C2C2A">
        <w:rPr>
          <w:sz w:val="20"/>
          <w:szCs w:val="20"/>
        </w:rPr>
        <w:t>, 2020, 19, 552–558</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C2C2A"/>
    <w:rsid w:val="00325004"/>
    <w:rsid w:val="00536366"/>
    <w:rsid w:val="00685C1A"/>
    <w:rsid w:val="00880F62"/>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A43E41"/>
  <w14:defaultImageDpi w14:val="300"/>
  <w15:docId w15:val="{EF88EA8E-2450-4CA8-B004-03C0ACD19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2C2A"/>
    <w:pPr>
      <w:widowControl/>
      <w:spacing w:before="100" w:beforeAutospacing="1" w:after="100" w:afterAutospacing="1"/>
    </w:pPr>
    <w:rPr>
      <w:snapToGrid/>
      <w:sz w:val="24"/>
      <w:szCs w:val="24"/>
    </w:rPr>
  </w:style>
  <w:style w:type="paragraph" w:customStyle="1" w:styleId="isselectedend">
    <w:name w:val="isselectedend"/>
    <w:basedOn w:val="Normal"/>
    <w:rsid w:val="002C2C2A"/>
    <w:pPr>
      <w:widowControl/>
      <w:spacing w:before="100" w:beforeAutospacing="1" w:after="100" w:afterAutospacing="1"/>
    </w:pPr>
    <w:rPr>
      <w:snapToGrid/>
      <w:sz w:val="24"/>
      <w:szCs w:val="24"/>
    </w:rPr>
  </w:style>
  <w:style w:type="character" w:customStyle="1" w:styleId="text-token-text-primary">
    <w:name w:val="text-token-text-primary"/>
    <w:basedOn w:val="DefaultParagraphFont"/>
    <w:rsid w:val="002C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Iuliia Voroshylova</cp:lastModifiedBy>
  <cp:revision>3</cp:revision>
  <cp:lastPrinted>2013-10-21T12:07:00Z</cp:lastPrinted>
  <dcterms:created xsi:type="dcterms:W3CDTF">2021-03-10T13:20:00Z</dcterms:created>
  <dcterms:modified xsi:type="dcterms:W3CDTF">2026-05-31T19:06:00Z</dcterms:modified>
</cp:coreProperties>
</file>