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7868B" w14:textId="77777777" w:rsidR="00325004" w:rsidRPr="00A86EB9" w:rsidRDefault="00F52D26" w:rsidP="00E0716D">
      <w:pPr>
        <w:jc w:val="center"/>
        <w:rPr>
          <w:b/>
          <w:sz w:val="28"/>
        </w:rPr>
      </w:pPr>
      <w:r>
        <w:rPr>
          <w:b/>
          <w:sz w:val="28"/>
        </w:rPr>
        <w:t>Electrochemical impedance spectroscopy (EIS) coupled with distribution of relaxation times (DRT) analysis of fuel cells operating on alternative fuels</w:t>
      </w:r>
    </w:p>
    <w:p w14:paraId="68813F69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416A92D6" w14:textId="77777777" w:rsidR="00325004" w:rsidRDefault="00F52D26" w:rsidP="00E0716D">
      <w:pPr>
        <w:jc w:val="center"/>
      </w:pPr>
      <w:r>
        <w:rPr>
          <w:u w:val="single"/>
        </w:rPr>
        <w:t>M. Dominów</w:t>
      </w:r>
      <w:r>
        <w:rPr>
          <w:u w:val="single"/>
          <w:vertAlign w:val="superscript"/>
        </w:rPr>
        <w:t>1</w:t>
      </w:r>
      <w:r w:rsidR="00325004">
        <w:t xml:space="preserve">, </w:t>
      </w:r>
      <w:r w:rsidRPr="00F52D26">
        <w:t>J.Zdankiewicz</w:t>
      </w:r>
      <w:r w:rsidRPr="00F52D26">
        <w:rPr>
          <w:vertAlign w:val="superscript"/>
        </w:rPr>
        <w:t>1</w:t>
      </w:r>
      <w:r w:rsidRPr="00F52D26">
        <w:t>, K.Kujawska</w:t>
      </w:r>
      <w:r w:rsidRPr="00F52D26">
        <w:rPr>
          <w:vertAlign w:val="superscript"/>
        </w:rPr>
        <w:t>1</w:t>
      </w:r>
      <w:r w:rsidRPr="00F52D26">
        <w:t>,</w:t>
      </w:r>
      <w:r>
        <w:t xml:space="preserve"> P. Błaszczak</w:t>
      </w:r>
      <w:r w:rsidRPr="00F52D26">
        <w:rPr>
          <w:vertAlign w:val="superscript"/>
        </w:rPr>
        <w:t>2</w:t>
      </w:r>
      <w:r>
        <w:t>, A. Ducka</w:t>
      </w:r>
      <w:r w:rsidRPr="00F52D26">
        <w:rPr>
          <w:vertAlign w:val="superscript"/>
        </w:rPr>
        <w:t>1</w:t>
      </w:r>
      <w:r>
        <w:t xml:space="preserve">, </w:t>
      </w:r>
      <w:r w:rsidRPr="00F52D26">
        <w:t xml:space="preserve"> Y.L. Liao</w:t>
      </w:r>
      <w:r w:rsidRPr="00F52D26">
        <w:rPr>
          <w:vertAlign w:val="superscript"/>
        </w:rPr>
        <w:t>3</w:t>
      </w:r>
      <w:r w:rsidRPr="00F52D26">
        <w:t>, S.F. Wang</w:t>
      </w:r>
      <w:r w:rsidRPr="00F52D26">
        <w:rPr>
          <w:vertAlign w:val="superscript"/>
        </w:rPr>
        <w:t>3</w:t>
      </w:r>
      <w:r w:rsidRPr="00F52D26">
        <w:t>, B.Bochentyn</w:t>
      </w:r>
      <w:r w:rsidRPr="00F52D26">
        <w:rPr>
          <w:vertAlign w:val="superscript"/>
        </w:rPr>
        <w:t>2</w:t>
      </w:r>
      <w:r>
        <w:t>,</w:t>
      </w:r>
      <w:r w:rsidRPr="00F52D26">
        <w:t xml:space="preserve"> J.Karczewski</w:t>
      </w:r>
      <w:r w:rsidRPr="00F52D26">
        <w:rPr>
          <w:vertAlign w:val="superscript"/>
        </w:rPr>
        <w:t>1</w:t>
      </w:r>
      <w:r w:rsidRPr="00F52D26">
        <w:t>, P.Jasiński</w:t>
      </w:r>
      <w:r w:rsidRPr="00F52D26">
        <w:rPr>
          <w:vertAlign w:val="superscript"/>
        </w:rPr>
        <w:t>2</w:t>
      </w:r>
    </w:p>
    <w:p w14:paraId="308FE09A" w14:textId="77777777" w:rsidR="00F52D26" w:rsidRPr="00F52D26" w:rsidRDefault="00F52D26" w:rsidP="00F52D26">
      <w:pPr>
        <w:jc w:val="center"/>
        <w:rPr>
          <w:i/>
        </w:rPr>
      </w:pPr>
      <w:r w:rsidRPr="00F52D26">
        <w:rPr>
          <w:i/>
          <w:vertAlign w:val="superscript"/>
        </w:rPr>
        <w:t>1</w:t>
      </w:r>
      <w:r w:rsidRPr="00F52D26">
        <w:rPr>
          <w:i/>
        </w:rPr>
        <w:t>Faculty of Applied Physics and Mathematics, Gdańsk University of Technology, Gdańsk, Poland</w:t>
      </w:r>
    </w:p>
    <w:p w14:paraId="1AA84B04" w14:textId="77777777" w:rsidR="00F52D26" w:rsidRPr="00F52D26" w:rsidRDefault="00F52D26" w:rsidP="00F52D26">
      <w:pPr>
        <w:jc w:val="center"/>
        <w:rPr>
          <w:i/>
        </w:rPr>
      </w:pPr>
      <w:r w:rsidRPr="00F52D26">
        <w:rPr>
          <w:i/>
          <w:vertAlign w:val="superscript"/>
        </w:rPr>
        <w:t>2</w:t>
      </w:r>
      <w:r w:rsidRPr="00F52D26">
        <w:rPr>
          <w:i/>
        </w:rPr>
        <w:t>Faculty of Electronics, Telecommunications and Informatics, Gdańsk University of Technology, Gdańsk, Poland</w:t>
      </w:r>
    </w:p>
    <w:p w14:paraId="45528E7A" w14:textId="383E8376" w:rsidR="00325004" w:rsidRDefault="00F52D26" w:rsidP="00F52D26">
      <w:pPr>
        <w:jc w:val="center"/>
      </w:pPr>
      <w:r w:rsidRPr="00F52D26">
        <w:rPr>
          <w:i/>
          <w:vertAlign w:val="superscript"/>
        </w:rPr>
        <w:t>3</w:t>
      </w:r>
      <w:r w:rsidRPr="00F52D26">
        <w:rPr>
          <w:i/>
        </w:rPr>
        <w:t>National Taipei University of Technology, Taipei, Taiwan</w:t>
      </w:r>
    </w:p>
    <w:p w14:paraId="0B30B6BD" w14:textId="77777777" w:rsidR="00685C1A" w:rsidRPr="00685C1A" w:rsidRDefault="00F52D26" w:rsidP="00E0716D">
      <w:pPr>
        <w:jc w:val="center"/>
        <w:rPr>
          <w:i/>
        </w:rPr>
      </w:pPr>
      <w:r>
        <w:rPr>
          <w:i/>
        </w:rPr>
        <w:t>michal.dominow@pg.edu.pl</w:t>
      </w:r>
    </w:p>
    <w:p w14:paraId="66DF3106" w14:textId="77777777" w:rsidR="00325004" w:rsidRDefault="00325004" w:rsidP="00F52D26">
      <w:pPr>
        <w:jc w:val="both"/>
      </w:pPr>
    </w:p>
    <w:p w14:paraId="1B688E25" w14:textId="68AA0F3E" w:rsidR="00F52D26" w:rsidRDefault="00F52D26" w:rsidP="00F52D26">
      <w:pPr>
        <w:ind w:firstLine="720"/>
        <w:jc w:val="both"/>
      </w:pPr>
      <w:r w:rsidRPr="00BB425A">
        <w:t>Waste treatment, particularly of non-recyclable polymers</w:t>
      </w:r>
      <w:r>
        <w:t xml:space="preserve"> and biogas mixtures</w:t>
      </w:r>
      <w:r w:rsidRPr="00BB425A">
        <w:t>, remains a subject of significant scientific and industrial interest</w:t>
      </w:r>
      <w:r>
        <w:t xml:space="preserve"> [1]</w:t>
      </w:r>
      <w:r w:rsidRPr="00BB425A">
        <w:t>. Various approaches have been proposed to address this challenge</w:t>
      </w:r>
      <w:r>
        <w:t>s</w:t>
      </w:r>
      <w:r w:rsidRPr="00BB425A">
        <w:t>, including biotechnological, photocatalytic,</w:t>
      </w:r>
      <w:r>
        <w:t xml:space="preserve"> reforming</w:t>
      </w:r>
      <w:r w:rsidRPr="00BB425A">
        <w:t xml:space="preserve"> and pyrolytic processes aimed at recycling</w:t>
      </w:r>
      <w:r>
        <w:t>/upcycling or decomposing such materials.</w:t>
      </w:r>
      <w:r w:rsidR="001A4593">
        <w:t xml:space="preserve"> In consequence, a significant amount of gases such as hydrogen, carbon dioxide, carbon monoxide and hydrocarbons may is produced. </w:t>
      </w:r>
      <w:r>
        <w:t xml:space="preserve"> </w:t>
      </w:r>
      <w:r w:rsidR="001A4593">
        <w:t>In this work</w:t>
      </w:r>
      <w:r>
        <w:t xml:space="preserve"> </w:t>
      </w:r>
      <w:r w:rsidR="001A4593">
        <w:t xml:space="preserve">possibility </w:t>
      </w:r>
      <w:r w:rsidR="008A0BAF">
        <w:t>of using</w:t>
      </w:r>
      <w:r>
        <w:t xml:space="preserve"> these specific gas mixtures (obtained from sources as polypropylene pyrolysis, or based on water waste treatment plants outlet bio</w:t>
      </w:r>
      <w:r w:rsidR="00233F19">
        <w:t>g</w:t>
      </w:r>
      <w:bookmarkStart w:id="0" w:name="_GoBack"/>
      <w:bookmarkEnd w:id="0"/>
      <w:r>
        <w:t>as) directly as fuels for solid oxide fuel cells (SOFCs)</w:t>
      </w:r>
      <w:r w:rsidR="001A4593">
        <w:t xml:space="preserve"> will be examined</w:t>
      </w:r>
      <w:r>
        <w:t>. This allows to skip entirely pre-reforming stage, leading to interesting developments and cheaper operation. But t</w:t>
      </w:r>
      <w:r w:rsidRPr="00790F6D">
        <w:t>o ensure process scalability and industrial viability, develop</w:t>
      </w:r>
      <w:r>
        <w:t>ment of more efficient catalytic layers</w:t>
      </w:r>
      <w:r w:rsidRPr="00790F6D">
        <w:t xml:space="preserve"> is required</w:t>
      </w:r>
      <w:r>
        <w:t>, and methods of accurate analysis of such layers during operation</w:t>
      </w:r>
      <w:r w:rsidRPr="00790F6D">
        <w:t>.</w:t>
      </w:r>
    </w:p>
    <w:p w14:paraId="50E32B29" w14:textId="2503F901" w:rsidR="00F52D26" w:rsidRDefault="00F52D26" w:rsidP="008A0BAF">
      <w:pPr>
        <w:ind w:firstLine="720"/>
        <w:jc w:val="both"/>
      </w:pPr>
      <w:r>
        <w:t xml:space="preserve">It is, however, a </w:t>
      </w:r>
      <w:r w:rsidR="008A0BAF">
        <w:t xml:space="preserve">material design </w:t>
      </w:r>
      <w:r>
        <w:t xml:space="preserve">challenge, </w:t>
      </w:r>
      <w:r w:rsidR="007B31D0">
        <w:t xml:space="preserve">when </w:t>
      </w:r>
      <w:r>
        <w:t xml:space="preserve">SOFC </w:t>
      </w:r>
      <w:r w:rsidR="007B31D0">
        <w:t xml:space="preserve">works </w:t>
      </w:r>
      <w:r>
        <w:t xml:space="preserve">in </w:t>
      </w:r>
      <w:r w:rsidR="007B31D0">
        <w:t xml:space="preserve">a </w:t>
      </w:r>
      <w:r>
        <w:t xml:space="preserve">direct internal reforming (DIR-SOFC) configuration. </w:t>
      </w:r>
      <w:r w:rsidR="007B31D0">
        <w:t xml:space="preserve">Based on the </w:t>
      </w:r>
      <w:r>
        <w:t xml:space="preserve">materials and pyrolytic gas compositions previously investigated in our team, various combinations of fuel cell modifications and inlet gas compositions were tested. To achieve abovementioned goal </w:t>
      </w:r>
      <w:r w:rsidR="00FA6E5E">
        <w:t xml:space="preserve">the </w:t>
      </w:r>
      <w:r>
        <w:t xml:space="preserve">electrochemical impedance spectroscopy (EIS) </w:t>
      </w:r>
      <w:r w:rsidR="00FA6E5E">
        <w:t xml:space="preserve">was employed </w:t>
      </w:r>
      <w:r>
        <w:t xml:space="preserve">in various stages of cell operation (in hydrogen and after prolonged </w:t>
      </w:r>
      <w:r w:rsidR="00FA6E5E">
        <w:t>feed</w:t>
      </w:r>
      <w:r w:rsidR="008A0BAF">
        <w:t>i</w:t>
      </w:r>
      <w:r w:rsidR="00FA6E5E">
        <w:t xml:space="preserve">ng </w:t>
      </w:r>
      <w:r>
        <w:t xml:space="preserve">with specific fuel mixture). To pinpoint exact electrochemical process number in each case distribution of relaxation times (DRT) analysis was employed. </w:t>
      </w:r>
      <w:r w:rsidR="00FA6E5E">
        <w:t xml:space="preserve">Exemplary comparison </w:t>
      </w:r>
      <w:r>
        <w:t>of such analys</w:t>
      </w:r>
      <w:r w:rsidR="008A0BAF">
        <w:t>e</w:t>
      </w:r>
      <w:r>
        <w:t xml:space="preserve">s between </w:t>
      </w:r>
      <w:r w:rsidR="00FA6E5E">
        <w:t xml:space="preserve">a </w:t>
      </w:r>
      <w:r>
        <w:t>conventional cell and</w:t>
      </w:r>
      <w:r w:rsidR="00FA6E5E">
        <w:t xml:space="preserve"> one</w:t>
      </w:r>
      <w:r>
        <w:t xml:space="preserve"> modified </w:t>
      </w:r>
      <w:r w:rsidR="00FA6E5E">
        <w:t>by deposition of additional</w:t>
      </w:r>
      <w:r>
        <w:t xml:space="preserve"> </w:t>
      </w:r>
      <w:r w:rsidRPr="00F52D26">
        <w:t>(La</w:t>
      </w:r>
      <w:r w:rsidRPr="00F52D26">
        <w:rPr>
          <w:vertAlign w:val="subscript"/>
        </w:rPr>
        <w:t>0.3</w:t>
      </w:r>
      <w:r w:rsidRPr="00F52D26">
        <w:t>Sr</w:t>
      </w:r>
      <w:r w:rsidRPr="00F52D26">
        <w:rPr>
          <w:vertAlign w:val="subscript"/>
        </w:rPr>
        <w:t>0.6</w:t>
      </w:r>
      <w:r w:rsidRPr="00F52D26">
        <w:t>Ce</w:t>
      </w:r>
      <w:r w:rsidRPr="00F52D26">
        <w:rPr>
          <w:vertAlign w:val="subscript"/>
        </w:rPr>
        <w:t>0.1</w:t>
      </w:r>
      <w:r w:rsidRPr="00F52D26">
        <w:t>)</w:t>
      </w:r>
      <w:r w:rsidRPr="00F52D26">
        <w:rPr>
          <w:vertAlign w:val="subscript"/>
        </w:rPr>
        <w:t>0.9</w:t>
      </w:r>
      <w:r w:rsidRPr="00F52D26">
        <w:t>Co</w:t>
      </w:r>
      <w:r w:rsidRPr="00F52D26">
        <w:rPr>
          <w:vertAlign w:val="subscript"/>
        </w:rPr>
        <w:t>0.1</w:t>
      </w:r>
      <w:r w:rsidRPr="00F52D26">
        <w:t>Ti</w:t>
      </w:r>
      <w:r w:rsidRPr="00F52D26">
        <w:rPr>
          <w:vertAlign w:val="subscript"/>
        </w:rPr>
        <w:t>0.9</w:t>
      </w:r>
      <w:r w:rsidRPr="00F52D26">
        <w:t>O</w:t>
      </w:r>
      <w:r w:rsidRPr="00F52D26">
        <w:rPr>
          <w:vertAlign w:val="subscript"/>
        </w:rPr>
        <w:t>3−δ</w:t>
      </w:r>
      <w:r>
        <w:t xml:space="preserve"> </w:t>
      </w:r>
      <w:r w:rsidR="00FA6E5E">
        <w:t xml:space="preserve">anode catalytic layer </w:t>
      </w:r>
      <w:r>
        <w:t xml:space="preserve">(both operating in 60% </w:t>
      </w:r>
      <w:r w:rsidRPr="00F52D26">
        <w:t>CH</w:t>
      </w:r>
      <w:r>
        <w:rPr>
          <w:vertAlign w:val="subscript"/>
        </w:rPr>
        <w:t>4</w:t>
      </w:r>
      <w:r>
        <w:t xml:space="preserve"> 40% CO</w:t>
      </w:r>
      <w:r>
        <w:rPr>
          <w:vertAlign w:val="subscript"/>
        </w:rPr>
        <w:t>2</w:t>
      </w:r>
      <w:r>
        <w:t>) is shown on Fig. 1 [2]. Such approach revealed non-trivial behavior and impact of applied layer on the reference cell.</w:t>
      </w:r>
    </w:p>
    <w:p w14:paraId="35FB97BD" w14:textId="77777777" w:rsidR="00F52D26" w:rsidRDefault="00F52D26" w:rsidP="00F52D26">
      <w:pPr>
        <w:jc w:val="both"/>
      </w:pPr>
      <w:r>
        <w:rPr>
          <w:noProof/>
          <w:snapToGrid/>
          <w:lang w:val="pl-PL" w:eastAsia="pl-PL"/>
        </w:rPr>
        <w:drawing>
          <wp:inline distT="0" distB="0" distL="0" distR="0" wp14:anchorId="3E570852" wp14:editId="2BE70170">
            <wp:extent cx="5400675" cy="2042795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91151" w14:textId="49050B0E" w:rsidR="00F52D26" w:rsidRPr="00F52D26" w:rsidRDefault="00F52D26" w:rsidP="00F52D26">
      <w:pPr>
        <w:jc w:val="both"/>
        <w:rPr>
          <w:i/>
        </w:rPr>
      </w:pPr>
      <w:r w:rsidRPr="00F52D26">
        <w:rPr>
          <w:i/>
        </w:rPr>
        <w:t>Fig. 1. DRT spectra</w:t>
      </w:r>
      <w:r w:rsidR="008A0BAF">
        <w:rPr>
          <w:i/>
        </w:rPr>
        <w:t xml:space="preserve"> </w:t>
      </w:r>
      <w:r w:rsidR="007B31D0">
        <w:rPr>
          <w:i/>
        </w:rPr>
        <w:t>of</w:t>
      </w:r>
      <w:r w:rsidRPr="00F52D26">
        <w:rPr>
          <w:i/>
        </w:rPr>
        <w:t xml:space="preserve"> investigated cells in the temperature regime: (a)</w:t>
      </w:r>
      <w:r w:rsidR="007B31D0">
        <w:rPr>
          <w:i/>
        </w:rPr>
        <w:t xml:space="preserve"> </w:t>
      </w:r>
      <w:r w:rsidRPr="00F52D26">
        <w:rPr>
          <w:i/>
        </w:rPr>
        <w:t>reference cell, temperature</w:t>
      </w:r>
    </w:p>
    <w:p w14:paraId="611A1A3A" w14:textId="77777777" w:rsidR="00F52D26" w:rsidRPr="00F52D26" w:rsidRDefault="00F52D26" w:rsidP="00F52D26">
      <w:pPr>
        <w:jc w:val="both"/>
        <w:rPr>
          <w:i/>
        </w:rPr>
      </w:pPr>
      <w:r w:rsidRPr="00F52D26">
        <w:rPr>
          <w:i/>
        </w:rPr>
        <w:t>comparison (where black, yellow and red line correspond to 700 ◦C, 750 ◦C and 800 ◦C, respectively),</w:t>
      </w:r>
    </w:p>
    <w:p w14:paraId="416D200D" w14:textId="61860481" w:rsidR="00F52D26" w:rsidRPr="00F52D26" w:rsidRDefault="00F52D26" w:rsidP="00F52D26">
      <w:pPr>
        <w:jc w:val="both"/>
        <w:rPr>
          <w:i/>
        </w:rPr>
      </w:pPr>
      <w:r w:rsidRPr="00F52D26">
        <w:rPr>
          <w:i/>
        </w:rPr>
        <w:t>(b)</w:t>
      </w:r>
      <w:r w:rsidR="007B31D0">
        <w:rPr>
          <w:i/>
        </w:rPr>
        <w:t xml:space="preserve"> </w:t>
      </w:r>
      <w:r w:rsidRPr="00F52D26">
        <w:rPr>
          <w:i/>
        </w:rPr>
        <w:t>reference cell, 700 ◦C (black line) and 800 ◦C (red line) juxtaposition, (c) reference (black line)</w:t>
      </w:r>
    </w:p>
    <w:p w14:paraId="12736BAA" w14:textId="24746AB7" w:rsidR="00F52D26" w:rsidRPr="00F52D26" w:rsidRDefault="00F52D26" w:rsidP="00F52D26">
      <w:pPr>
        <w:jc w:val="both"/>
        <w:rPr>
          <w:i/>
        </w:rPr>
      </w:pPr>
      <w:r w:rsidRPr="00F52D26">
        <w:rPr>
          <w:i/>
        </w:rPr>
        <w:t>and modified (red line) spectra obtained for 750 ◦C</w:t>
      </w:r>
      <w:r w:rsidR="007B31D0">
        <w:rPr>
          <w:i/>
        </w:rPr>
        <w:t xml:space="preserve"> [2].</w:t>
      </w:r>
    </w:p>
    <w:p w14:paraId="18F0DADB" w14:textId="77777777" w:rsidR="007B31D0" w:rsidRDefault="007B31D0" w:rsidP="00F52D26">
      <w:pPr>
        <w:jc w:val="both"/>
      </w:pPr>
    </w:p>
    <w:p w14:paraId="70F62389" w14:textId="75C16FF4" w:rsidR="00F52D26" w:rsidRDefault="007B31D0" w:rsidP="00F52D26">
      <w:pPr>
        <w:jc w:val="both"/>
      </w:pPr>
      <w:r>
        <w:t>References</w:t>
      </w:r>
    </w:p>
    <w:p w14:paraId="2DBE2340" w14:textId="42C5B1EE" w:rsidR="00F52D26" w:rsidRDefault="00F52D26" w:rsidP="00F52D26">
      <w:pPr>
        <w:jc w:val="both"/>
      </w:pPr>
      <w:r w:rsidRPr="008A0BAF">
        <w:rPr>
          <w:lang w:val="pl-PL"/>
        </w:rPr>
        <w:t>[1] Mishra, R.</w:t>
      </w:r>
      <w:r w:rsidR="008A0BAF">
        <w:rPr>
          <w:lang w:val="pl-PL"/>
        </w:rPr>
        <w:t xml:space="preserve"> et al</w:t>
      </w:r>
      <w:r w:rsidRPr="008A0BAF">
        <w:rPr>
          <w:i/>
          <w:lang w:val="pl-PL"/>
        </w:rPr>
        <w:t xml:space="preserve">. </w:t>
      </w:r>
      <w:r w:rsidRPr="008A0BAF">
        <w:rPr>
          <w:i/>
        </w:rPr>
        <w:t>Unveiling the potential of pyrolysis-gasification for hydrogen-rich syngas production from biomass and plastic waste</w:t>
      </w:r>
      <w:r w:rsidRPr="00F52D26">
        <w:t xml:space="preserve">. Energy Conversion and Management, </w:t>
      </w:r>
      <w:r w:rsidR="008A0BAF">
        <w:t>2024</w:t>
      </w:r>
      <w:r w:rsidRPr="00F52D26">
        <w:t xml:space="preserve">. </w:t>
      </w:r>
    </w:p>
    <w:p w14:paraId="725B180D" w14:textId="1F3DE842" w:rsidR="00F52D26" w:rsidRDefault="00F52D26" w:rsidP="00F52D26">
      <w:r>
        <w:t>[2] Kujawska, K., et al</w:t>
      </w:r>
      <w:r w:rsidR="007B31D0">
        <w:t>.</w:t>
      </w:r>
      <w:r>
        <w:t xml:space="preserve">, </w:t>
      </w:r>
      <w:r w:rsidRPr="008A0BAF">
        <w:rPr>
          <w:i/>
        </w:rPr>
        <w:t>Surface Modification of Ni-YSZ Anodes with a Cobalt NPs-Exsolving Perovskite Layer to Improve the Stability of Biogas-Fed SOFC</w:t>
      </w:r>
      <w:r>
        <w:t xml:space="preserve">. Catalysts, </w:t>
      </w:r>
      <w:r w:rsidR="008A0BAF">
        <w:t>2026</w:t>
      </w:r>
    </w:p>
    <w:p w14:paraId="2BB6A7B4" w14:textId="77777777" w:rsidR="00F52D26" w:rsidRDefault="00F52D26" w:rsidP="00F52D26">
      <w:pPr>
        <w:jc w:val="both"/>
      </w:pPr>
    </w:p>
    <w:p w14:paraId="194C7D55" w14:textId="77777777" w:rsidR="00325004" w:rsidRDefault="00325004" w:rsidP="00E0716D">
      <w:pPr>
        <w:jc w:val="both"/>
      </w:pPr>
    </w:p>
    <w:p w14:paraId="2670F0A9" w14:textId="77777777" w:rsidR="00325004" w:rsidRDefault="00325004" w:rsidP="00E0716D">
      <w:pPr>
        <w:jc w:val="both"/>
      </w:pPr>
    </w:p>
    <w:p w14:paraId="55CD418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B2A31C" w16cex:dateUtc="2026-05-16T06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E5AE57" w16cid:durableId="2DB2A31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004"/>
    <w:rsid w:val="00041EFD"/>
    <w:rsid w:val="0012601F"/>
    <w:rsid w:val="001A4593"/>
    <w:rsid w:val="00233F19"/>
    <w:rsid w:val="00325004"/>
    <w:rsid w:val="004A4E3F"/>
    <w:rsid w:val="00536366"/>
    <w:rsid w:val="00685C1A"/>
    <w:rsid w:val="007B31D0"/>
    <w:rsid w:val="008A0BAF"/>
    <w:rsid w:val="00E0716D"/>
    <w:rsid w:val="00F52D26"/>
    <w:rsid w:val="00F97641"/>
    <w:rsid w:val="00FA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894A28"/>
  <w14:defaultImageDpi w14:val="300"/>
  <w15:docId w15:val="{182A5B11-0CD2-47C3-BBF1-8403D53B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52D26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31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31D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31D0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31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31D0"/>
    <w:rPr>
      <w:b/>
      <w:bCs/>
      <w:snapToGrid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B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BAF"/>
    <w:rPr>
      <w:rFonts w:ascii="Segoe UI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2893</Characters>
  <Application>Microsoft Office Word</Application>
  <DocSecurity>0</DocSecurity>
  <Lines>44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Michal</cp:lastModifiedBy>
  <cp:revision>3</cp:revision>
  <cp:lastPrinted>2013-10-21T12:07:00Z</cp:lastPrinted>
  <dcterms:created xsi:type="dcterms:W3CDTF">2026-05-18T12:16:00Z</dcterms:created>
  <dcterms:modified xsi:type="dcterms:W3CDTF">2026-05-18T12:16:00Z</dcterms:modified>
</cp:coreProperties>
</file>