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7C33C" w14:textId="41C8BE91" w:rsidR="002D2BD6" w:rsidRPr="00A86EB9" w:rsidRDefault="002D2BD6" w:rsidP="002D2BD6">
      <w:pPr>
        <w:jc w:val="center"/>
        <w:rPr>
          <w:b/>
          <w:sz w:val="28"/>
        </w:rPr>
      </w:pPr>
      <w:r>
        <w:rPr>
          <w:b/>
          <w:sz w:val="28"/>
        </w:rPr>
        <w:t>Composition-Reactivity Correlations of Solid Electrolyte Interphases from Identical Location Experiments with SECM and XPS</w:t>
      </w:r>
    </w:p>
    <w:p w14:paraId="1FC5224C" w14:textId="24FE1491" w:rsidR="00325004" w:rsidRPr="00A86EB9" w:rsidRDefault="00325004" w:rsidP="00E0716D">
      <w:pPr>
        <w:jc w:val="center"/>
        <w:rPr>
          <w:b/>
          <w:sz w:val="28"/>
        </w:rPr>
      </w:pPr>
    </w:p>
    <w:p w14:paraId="6991A307" w14:textId="77777777" w:rsidR="002D2BD6" w:rsidRPr="001D24F3" w:rsidRDefault="002D2BD6" w:rsidP="002D2BD6">
      <w:pPr>
        <w:jc w:val="center"/>
        <w:rPr>
          <w:lang w:val="de-DE"/>
        </w:rPr>
      </w:pPr>
      <w:r w:rsidRPr="001D24F3">
        <w:rPr>
          <w:u w:val="single"/>
          <w:lang w:val="de-DE"/>
        </w:rPr>
        <w:t xml:space="preserve">Gunther </w:t>
      </w:r>
      <w:proofErr w:type="spellStart"/>
      <w:r w:rsidRPr="001D24F3">
        <w:rPr>
          <w:u w:val="single"/>
          <w:lang w:val="de-DE"/>
        </w:rPr>
        <w:t>Wittstock</w:t>
      </w:r>
      <w:r w:rsidRPr="001D24F3">
        <w:rPr>
          <w:vertAlign w:val="superscript"/>
          <w:lang w:val="de-DE"/>
        </w:rPr>
        <w:t>a</w:t>
      </w:r>
      <w:proofErr w:type="spellEnd"/>
      <w:r w:rsidRPr="001D24F3">
        <w:rPr>
          <w:lang w:val="de-DE"/>
        </w:rPr>
        <w:t xml:space="preserve">, Marius </w:t>
      </w:r>
      <w:proofErr w:type="spellStart"/>
      <w:r w:rsidRPr="001D24F3">
        <w:rPr>
          <w:lang w:val="de-DE"/>
        </w:rPr>
        <w:t>Muhle</w:t>
      </w:r>
      <w:r w:rsidRPr="001D24F3">
        <w:rPr>
          <w:vertAlign w:val="superscript"/>
          <w:lang w:val="de-DE"/>
        </w:rPr>
        <w:t>a</w:t>
      </w:r>
      <w:proofErr w:type="spellEnd"/>
      <w:r w:rsidRPr="001D24F3">
        <w:rPr>
          <w:lang w:val="de-DE"/>
        </w:rPr>
        <w:t xml:space="preserve">, Carsten </w:t>
      </w:r>
      <w:proofErr w:type="spellStart"/>
      <w:r w:rsidRPr="001D24F3">
        <w:rPr>
          <w:lang w:val="de-DE"/>
        </w:rPr>
        <w:t>Dosche</w:t>
      </w:r>
      <w:r w:rsidRPr="001D24F3">
        <w:rPr>
          <w:vertAlign w:val="superscript"/>
          <w:lang w:val="de-DE"/>
        </w:rPr>
        <w:t>a</w:t>
      </w:r>
      <w:proofErr w:type="spellEnd"/>
    </w:p>
    <w:p w14:paraId="05526D33" w14:textId="1D885E8C" w:rsidR="00325004" w:rsidRDefault="002D2BD6" w:rsidP="00E0716D">
      <w:pPr>
        <w:jc w:val="center"/>
      </w:pPr>
      <w:proofErr w:type="spellStart"/>
      <w:r w:rsidRPr="002D2BD6">
        <w:rPr>
          <w:i/>
          <w:vertAlign w:val="superscript"/>
        </w:rPr>
        <w:t>a</w:t>
      </w:r>
      <w:r>
        <w:rPr>
          <w:i/>
        </w:rPr>
        <w:t>Carl</w:t>
      </w:r>
      <w:proofErr w:type="spellEnd"/>
      <w:r>
        <w:rPr>
          <w:i/>
        </w:rPr>
        <w:t xml:space="preserve"> von Ossietzky University Oldenburg, School of Mathematics and Science, Institute of Chemistry, 26111 Oldenburg, Germany</w:t>
      </w:r>
      <w:r w:rsidRPr="00A86EB9">
        <w:rPr>
          <w:i/>
        </w:rPr>
        <w:t xml:space="preserve"> </w:t>
      </w:r>
    </w:p>
    <w:p w14:paraId="53CAC5E1" w14:textId="77777777" w:rsidR="002D2BD6" w:rsidRPr="00685C1A" w:rsidRDefault="002D2BD6" w:rsidP="002D2BD6">
      <w:pPr>
        <w:jc w:val="center"/>
        <w:rPr>
          <w:i/>
        </w:rPr>
      </w:pPr>
      <w:r>
        <w:rPr>
          <w:i/>
        </w:rPr>
        <w:t>gunther.wittstock@uni-oldenburg.de</w:t>
      </w:r>
    </w:p>
    <w:p w14:paraId="4633F5CC" w14:textId="6CE978C3" w:rsidR="00685C1A" w:rsidRPr="00685C1A" w:rsidRDefault="00685C1A" w:rsidP="00E0716D">
      <w:pPr>
        <w:jc w:val="center"/>
        <w:rPr>
          <w:i/>
        </w:rPr>
      </w:pPr>
    </w:p>
    <w:p w14:paraId="3A381B54" w14:textId="7219BE04" w:rsidR="002D2BD6" w:rsidRDefault="002D2BD6" w:rsidP="002D2BD6">
      <w:pPr>
        <w:jc w:val="both"/>
      </w:pPr>
      <w:r>
        <w:t>Understanding the relationship between local composition and local reactivity at highly reactive interfaces</w:t>
      </w:r>
      <w:r w:rsidR="00103CDA">
        <w:t>,</w:t>
      </w:r>
      <w:r>
        <w:t xml:space="preserve"> </w:t>
      </w:r>
      <w:r>
        <w:t>such</w:t>
      </w:r>
      <w:r w:rsidR="00103CDA">
        <w:t xml:space="preserve"> as</w:t>
      </w:r>
      <w:r>
        <w:t xml:space="preserve"> lithium electrodes</w:t>
      </w:r>
      <w:r w:rsidR="00103CDA">
        <w:t>,</w:t>
      </w:r>
      <w:r>
        <w:t xml:space="preserve"> is at the core of improving energy storage systems and a model case for application in a wider range of </w:t>
      </w:r>
      <w:r w:rsidR="00103CDA">
        <w:t>electrochemical systems</w:t>
      </w:r>
      <w:r>
        <w:t xml:space="preserve">. Scanning electrochemical microscopy (SECM) can provide local </w:t>
      </w:r>
      <w:r w:rsidRPr="006429E4">
        <w:rPr>
          <w:i/>
          <w:iCs/>
        </w:rPr>
        <w:t>in situ</w:t>
      </w:r>
      <w:r>
        <w:t xml:space="preserve"> reactivity information. When comparing </w:t>
      </w:r>
      <w:r w:rsidR="00103CDA">
        <w:t>sequentially recorded</w:t>
      </w:r>
      <w:r>
        <w:t xml:space="preserve"> images of the same region, the evolution of local reactivity as function of process conditions can be deduced [1]. By principle, compositional information is not accessible </w:t>
      </w:r>
      <w:r w:rsidR="00103CDA">
        <w:t>from</w:t>
      </w:r>
      <w:r>
        <w:t xml:space="preserve"> SECM and must be obtained by complementary </w:t>
      </w:r>
      <w:r w:rsidR="00D45BDB">
        <w:t xml:space="preserve">surface sensitive </w:t>
      </w:r>
      <w:r>
        <w:t>spectroscopic techniques</w:t>
      </w:r>
      <w:r w:rsidR="00D45BDB">
        <w:t xml:space="preserve"> from </w:t>
      </w:r>
      <w:r>
        <w:t xml:space="preserve">the same region analyzed by SECM. Different combinations of SECM with compositionally sensitive methods have been described [2-5]. Often the repositioning in the other instrument is based on locating an easy identifiable structure (“landing mark” or prominent sample feature) in different instruments and to analyze the area around it. </w:t>
      </w:r>
    </w:p>
    <w:p w14:paraId="157D46A0" w14:textId="64CBF6AF" w:rsidR="002D2BD6" w:rsidRPr="00E847D5" w:rsidRDefault="002D2BD6" w:rsidP="002D2BD6">
      <w:pPr>
        <w:ind w:firstLine="720"/>
        <w:jc w:val="both"/>
      </w:pPr>
      <w:r>
        <w:t xml:space="preserve">Here, identical location experiments </w:t>
      </w:r>
      <w:r w:rsidR="00D45BDB">
        <w:t xml:space="preserve">are presented </w:t>
      </w:r>
      <w:r>
        <w:t xml:space="preserve">with multiple local techniques </w:t>
      </w:r>
      <w:r w:rsidRPr="002D2BD6">
        <w:rPr>
          <w:i/>
          <w:iCs/>
        </w:rPr>
        <w:t>without</w:t>
      </w:r>
      <w:r>
        <w:t xml:space="preserve"> landing marks</w:t>
      </w:r>
      <w:r w:rsidR="00275153">
        <w:t xml:space="preserve"> for Li</w:t>
      </w:r>
      <w:r>
        <w:t xml:space="preserve"> metal electrodes after different </w:t>
      </w:r>
      <w:r w:rsidRPr="00E847D5">
        <w:t>numbers of deposition</w:t>
      </w:r>
      <w:r w:rsidR="00E847D5" w:rsidRPr="00E847D5">
        <w:t>-</w:t>
      </w:r>
      <w:r w:rsidRPr="00E847D5">
        <w:t xml:space="preserve">dissolution </w:t>
      </w:r>
      <w:r w:rsidR="005D48A5" w:rsidRPr="00E847D5">
        <w:t xml:space="preserve">cycles </w:t>
      </w:r>
      <w:r w:rsidRPr="00E847D5">
        <w:t>i</w:t>
      </w:r>
      <w:r>
        <w:t>n battery electrolytes</w:t>
      </w:r>
      <w:r w:rsidR="002C376D">
        <w:t xml:space="preserve"> [6].</w:t>
      </w:r>
      <w:r>
        <w:t xml:space="preserve"> </w:t>
      </w:r>
      <w:r w:rsidR="002C376D">
        <w:t xml:space="preserve">This mitigates the risk </w:t>
      </w:r>
      <w:r>
        <w:t xml:space="preserve">of changing the behavior of the surface layer beyond the landing mark. The new </w:t>
      </w:r>
      <w:r w:rsidRPr="00E847D5">
        <w:t>method requires two instruments with an absolute positioning system, i.e., systems that allows to approach the same position after a restart and exchange of the sample. In our example, this is satisfied by an X-ray photoelectron (XP) spectrometer with motorized sample stage (ESCALAB 250 Xi) with small area capability (spot diameter 100 µm) and an in house constructed SECM with a closed-loop positioning system (</w:t>
      </w:r>
      <w:proofErr w:type="spellStart"/>
      <w:r w:rsidRPr="00E847D5">
        <w:t>mechOnics</w:t>
      </w:r>
      <w:proofErr w:type="spellEnd"/>
      <w:r w:rsidRPr="00E847D5">
        <w:t>) in combination with an SECM cell construction into which a</w:t>
      </w:r>
      <w:r w:rsidR="00103CDA" w:rsidRPr="00E847D5">
        <w:t xml:space="preserve"> sample holder for XPS</w:t>
      </w:r>
      <w:r w:rsidRPr="00E847D5">
        <w:t xml:space="preserve"> can be tightly fitted in an exactly defined geometric arrangement. This is complemented by provisions for inert transfer between the glovebox of the SECM system and the glovebox at the XPS instrument. Next, a test sample with a clearly discernable landing mark is studied by SECM and XPS imaging. The images of the landing mark are used to establish the parameters of a coordinate transform between the coordinate systems of the two positioning systems with an exchange of </w:t>
      </w:r>
      <w:r w:rsidRPr="00E847D5">
        <w:rPr>
          <w:i/>
          <w:iCs/>
        </w:rPr>
        <w:t>x</w:t>
      </w:r>
      <w:r w:rsidRPr="00E847D5">
        <w:t xml:space="preserve">-, and </w:t>
      </w:r>
      <w:r w:rsidRPr="00E847D5">
        <w:rPr>
          <w:i/>
          <w:iCs/>
        </w:rPr>
        <w:t>y</w:t>
      </w:r>
      <w:r w:rsidRPr="00E847D5">
        <w:t xml:space="preserve">-axes, positional offsets, and a rotation of the image (caused by the magnetic lens in the XP spectrometer). </w:t>
      </w:r>
    </w:p>
    <w:p w14:paraId="018499B9" w14:textId="5CD7DE7C" w:rsidR="002D2BD6" w:rsidRDefault="002D2BD6" w:rsidP="002D2BD6">
      <w:pPr>
        <w:jc w:val="both"/>
      </w:pPr>
      <w:r w:rsidRPr="00E847D5">
        <w:tab/>
        <w:t>Once the coordinate transform is established, it can also be used to correlate images that appear featureless in the optical observation. The Li metal electrodes showed a clear evolution of the solid electro</w:t>
      </w:r>
      <w:r w:rsidR="00103CDA" w:rsidRPr="00E847D5">
        <w:softHyphen/>
      </w:r>
      <w:r w:rsidRPr="00E847D5">
        <w:t>lyte interface (SEI), where regions with different degree of passivation could be identified by feedback imaging or feedback approach curves</w:t>
      </w:r>
      <w:r w:rsidR="00103CDA" w:rsidRPr="00E847D5">
        <w:t xml:space="preserve"> in SECM</w:t>
      </w:r>
      <w:r w:rsidRPr="00E847D5">
        <w:t>. Small</w:t>
      </w:r>
      <w:r w:rsidR="00103CDA" w:rsidRPr="00E847D5">
        <w:t>-</w:t>
      </w:r>
      <w:r w:rsidRPr="00E847D5">
        <w:t>area XP spectra can be spatially correlated to approach curves by the established coordinate transform</w:t>
      </w:r>
      <w:r w:rsidR="00103CDA" w:rsidRPr="00E847D5">
        <w:t xml:space="preserve"> and</w:t>
      </w:r>
      <w:r w:rsidRPr="00E847D5">
        <w:t xml:space="preserve"> showed a relatively larger content of organic SEI components on regions with better suppression of electron transfer reactions by the SEI. </w:t>
      </w:r>
      <w:r w:rsidR="00103CDA" w:rsidRPr="00E847D5">
        <w:t xml:space="preserve">Such analysis can be refined by chemometric tools. </w:t>
      </w:r>
      <w:r w:rsidRPr="00E847D5">
        <w:t xml:space="preserve">We also studied the sample investigated by XPS after back transfer to the SECM cell to elucidate how strong the impact of rinsing, exposure to ultra-high vacuum and possible radiation damage is on the protecting properties of the SEI. While there is a clearly detectable change in SEI properties after transfer to the XPS instrument, this effect is significantly smaller than the disturbance inflicted on the SEI during one </w:t>
      </w:r>
      <w:r w:rsidR="005D48A5" w:rsidRPr="00E847D5">
        <w:t>deposition</w:t>
      </w:r>
      <w:r w:rsidR="00E847D5" w:rsidRPr="00E847D5">
        <w:t>-</w:t>
      </w:r>
      <w:r w:rsidR="005D48A5" w:rsidRPr="00E847D5">
        <w:t xml:space="preserve">dissolution </w:t>
      </w:r>
      <w:r w:rsidRPr="00E847D5">
        <w:t>cycle.</w:t>
      </w:r>
      <w:r w:rsidR="00103CDA" w:rsidRPr="00E847D5">
        <w:t xml:space="preserve"> </w:t>
      </w:r>
      <w:r w:rsidRPr="00E847D5">
        <w:t xml:space="preserve">The principle can be transferred to other combinations of </w:t>
      </w:r>
      <w:r w:rsidRPr="00E847D5">
        <w:rPr>
          <w:i/>
          <w:iCs/>
        </w:rPr>
        <w:t>ex situ</w:t>
      </w:r>
      <w:r w:rsidRPr="00E847D5">
        <w:t xml:space="preserve"> correlated imaging, such as SECM and Raman imaging, or SECM and IR microscopy.</w:t>
      </w:r>
    </w:p>
    <w:p w14:paraId="5709F40C" w14:textId="77777777" w:rsidR="002D2BD6" w:rsidRDefault="002D2BD6" w:rsidP="002D2BD6">
      <w:pPr>
        <w:jc w:val="both"/>
      </w:pPr>
    </w:p>
    <w:p w14:paraId="33E456C8" w14:textId="77777777" w:rsidR="002D2BD6" w:rsidRPr="001D24F3" w:rsidRDefault="002D2BD6" w:rsidP="002D2BD6">
      <w:pPr>
        <w:jc w:val="both"/>
        <w:rPr>
          <w:b/>
          <w:bCs/>
          <w:lang w:val="de-DE"/>
        </w:rPr>
      </w:pPr>
      <w:r w:rsidRPr="001D24F3">
        <w:rPr>
          <w:b/>
          <w:bCs/>
          <w:lang w:val="de-DE"/>
        </w:rPr>
        <w:t>References</w:t>
      </w:r>
    </w:p>
    <w:p w14:paraId="59E20900" w14:textId="77777777" w:rsidR="002D2BD6" w:rsidRPr="00A53546" w:rsidRDefault="002D2BD6" w:rsidP="00352140">
      <w:pPr>
        <w:tabs>
          <w:tab w:val="left" w:pos="397"/>
        </w:tabs>
        <w:ind w:left="397" w:hanging="397"/>
        <w:jc w:val="both"/>
        <w:rPr>
          <w:lang w:val="de-DE"/>
        </w:rPr>
      </w:pPr>
      <w:r w:rsidRPr="00A53546">
        <w:rPr>
          <w:lang w:val="de-DE"/>
        </w:rPr>
        <w:t>[1]</w:t>
      </w:r>
      <w:r w:rsidRPr="00A53546">
        <w:rPr>
          <w:lang w:val="de-DE"/>
        </w:rPr>
        <w:tab/>
        <w:t xml:space="preserve">H. Bülter, F. Peters, J. </w:t>
      </w:r>
      <w:proofErr w:type="spellStart"/>
      <w:r w:rsidRPr="00A53546">
        <w:rPr>
          <w:lang w:val="de-DE"/>
        </w:rPr>
        <w:t>Schwenzel</w:t>
      </w:r>
      <w:proofErr w:type="spellEnd"/>
      <w:r w:rsidRPr="00A53546">
        <w:rPr>
          <w:lang w:val="de-DE"/>
        </w:rPr>
        <w:t xml:space="preserve">, G. Wittstock, </w:t>
      </w:r>
      <w:proofErr w:type="spellStart"/>
      <w:r w:rsidRPr="00A53546">
        <w:rPr>
          <w:i/>
          <w:iCs/>
          <w:lang w:val="de-DE"/>
        </w:rPr>
        <w:t>Angew</w:t>
      </w:r>
      <w:proofErr w:type="spellEnd"/>
      <w:r w:rsidRPr="00A53546">
        <w:rPr>
          <w:i/>
          <w:iCs/>
          <w:lang w:val="de-DE"/>
        </w:rPr>
        <w:t>. Chem. Int. Ed.</w:t>
      </w:r>
      <w:r w:rsidRPr="00A53546">
        <w:rPr>
          <w:lang w:val="de-DE"/>
        </w:rPr>
        <w:t xml:space="preserve"> </w:t>
      </w:r>
      <w:r w:rsidRPr="00A53546">
        <w:rPr>
          <w:b/>
          <w:bCs/>
          <w:lang w:val="de-DE"/>
        </w:rPr>
        <w:t>2014</w:t>
      </w:r>
      <w:r w:rsidRPr="00A53546">
        <w:rPr>
          <w:lang w:val="de-DE"/>
        </w:rPr>
        <w:t xml:space="preserve">, </w:t>
      </w:r>
      <w:r w:rsidRPr="00A53546">
        <w:rPr>
          <w:i/>
          <w:iCs/>
          <w:lang w:val="de-DE"/>
        </w:rPr>
        <w:t>53</w:t>
      </w:r>
      <w:r w:rsidRPr="00A53546">
        <w:rPr>
          <w:lang w:val="de-DE"/>
        </w:rPr>
        <w:t>, 10531.</w:t>
      </w:r>
    </w:p>
    <w:p w14:paraId="4F8036BE" w14:textId="77777777" w:rsidR="002D2BD6" w:rsidRPr="001D24F3" w:rsidRDefault="002D2BD6" w:rsidP="00352140">
      <w:pPr>
        <w:tabs>
          <w:tab w:val="left" w:pos="397"/>
        </w:tabs>
        <w:ind w:left="397" w:hanging="397"/>
        <w:jc w:val="both"/>
      </w:pPr>
      <w:r w:rsidRPr="00A53546">
        <w:rPr>
          <w:lang w:val="de-DE"/>
        </w:rPr>
        <w:t>[</w:t>
      </w:r>
      <w:r>
        <w:rPr>
          <w:lang w:val="de-DE"/>
        </w:rPr>
        <w:t>2</w:t>
      </w:r>
      <w:r w:rsidRPr="00A53546">
        <w:rPr>
          <w:lang w:val="de-DE"/>
        </w:rPr>
        <w:t>]</w:t>
      </w:r>
      <w:r w:rsidRPr="00A53546">
        <w:rPr>
          <w:lang w:val="de-DE"/>
        </w:rPr>
        <w:tab/>
        <w:t xml:space="preserve">H. Bülter, M. Sternad, E. dos Santos </w:t>
      </w:r>
      <w:proofErr w:type="spellStart"/>
      <w:r w:rsidRPr="00A53546">
        <w:rPr>
          <w:lang w:val="de-DE"/>
        </w:rPr>
        <w:t>Sardinha</w:t>
      </w:r>
      <w:proofErr w:type="spellEnd"/>
      <w:r w:rsidRPr="00A53546">
        <w:rPr>
          <w:lang w:val="de-DE"/>
        </w:rPr>
        <w:t xml:space="preserve">, J. Witt, C. Dosche, M. Wilkening, G. Wittstock, </w:t>
      </w:r>
      <w:r w:rsidRPr="00A53546">
        <w:rPr>
          <w:i/>
          <w:iCs/>
          <w:lang w:val="de-DE"/>
        </w:rPr>
        <w:t xml:space="preserve">J. </w:t>
      </w:r>
      <w:proofErr w:type="spellStart"/>
      <w:r w:rsidRPr="00A53546">
        <w:rPr>
          <w:i/>
          <w:iCs/>
          <w:lang w:val="de-DE"/>
        </w:rPr>
        <w:t>Electrochem</w:t>
      </w:r>
      <w:proofErr w:type="spellEnd"/>
      <w:r w:rsidRPr="00A53546">
        <w:rPr>
          <w:i/>
          <w:iCs/>
          <w:lang w:val="de-DE"/>
        </w:rPr>
        <w:t xml:space="preserve">. </w:t>
      </w:r>
      <w:r w:rsidRPr="001D24F3">
        <w:rPr>
          <w:i/>
          <w:iCs/>
        </w:rPr>
        <w:t>Soc.</w:t>
      </w:r>
      <w:r w:rsidRPr="001D24F3">
        <w:t xml:space="preserve"> </w:t>
      </w:r>
      <w:r w:rsidRPr="001D24F3">
        <w:rPr>
          <w:b/>
          <w:bCs/>
        </w:rPr>
        <w:t>2016</w:t>
      </w:r>
      <w:r w:rsidRPr="001D24F3">
        <w:t xml:space="preserve">, </w:t>
      </w:r>
      <w:r w:rsidRPr="001D24F3">
        <w:rPr>
          <w:i/>
          <w:iCs/>
        </w:rPr>
        <w:t>163</w:t>
      </w:r>
      <w:r w:rsidRPr="001D24F3">
        <w:t>, A504-A512.</w:t>
      </w:r>
    </w:p>
    <w:p w14:paraId="04C0E687" w14:textId="77777777" w:rsidR="002D2BD6" w:rsidRPr="00DC22FA" w:rsidRDefault="002D2BD6" w:rsidP="00352140">
      <w:pPr>
        <w:tabs>
          <w:tab w:val="left" w:pos="397"/>
        </w:tabs>
        <w:ind w:left="397" w:hanging="397"/>
        <w:jc w:val="both"/>
        <w:rPr>
          <w:lang w:val="de-DE"/>
        </w:rPr>
      </w:pPr>
      <w:r w:rsidRPr="001D24F3">
        <w:t>[3]</w:t>
      </w:r>
      <w:r w:rsidRPr="001D24F3">
        <w:tab/>
        <w:t xml:space="preserve">E. Ventosa, E. </w:t>
      </w:r>
      <w:proofErr w:type="spellStart"/>
      <w:r w:rsidRPr="001D24F3">
        <w:t>Madej</w:t>
      </w:r>
      <w:proofErr w:type="spellEnd"/>
      <w:r w:rsidRPr="001D24F3">
        <w:t xml:space="preserve">, G. </w:t>
      </w:r>
      <w:proofErr w:type="spellStart"/>
      <w:r w:rsidRPr="001D24F3">
        <w:t>Zampardi</w:t>
      </w:r>
      <w:proofErr w:type="spellEnd"/>
      <w:r w:rsidRPr="001D24F3">
        <w:t xml:space="preserve">, B. Mei, P. </w:t>
      </w:r>
      <w:proofErr w:type="spellStart"/>
      <w:r w:rsidRPr="001D24F3">
        <w:t>Weide</w:t>
      </w:r>
      <w:proofErr w:type="spellEnd"/>
      <w:r w:rsidRPr="001D24F3">
        <w:t xml:space="preserve">, H. Antoni, F. La </w:t>
      </w:r>
      <w:proofErr w:type="spellStart"/>
      <w:r w:rsidRPr="001D24F3">
        <w:t>Mantia</w:t>
      </w:r>
      <w:proofErr w:type="spellEnd"/>
      <w:r w:rsidRPr="001D24F3">
        <w:t xml:space="preserve">, M. </w:t>
      </w:r>
      <w:proofErr w:type="spellStart"/>
      <w:r w:rsidRPr="001D24F3">
        <w:t>Muhler</w:t>
      </w:r>
      <w:proofErr w:type="spellEnd"/>
      <w:r w:rsidRPr="001D24F3">
        <w:t xml:space="preserve">, W. Schuhmann, </w:t>
      </w:r>
      <w:r w:rsidRPr="001D24F3">
        <w:rPr>
          <w:i/>
          <w:iCs/>
        </w:rPr>
        <w:t xml:space="preserve">ACS Appl. </w:t>
      </w:r>
      <w:r w:rsidRPr="00DC22FA">
        <w:rPr>
          <w:i/>
          <w:iCs/>
          <w:lang w:val="de-DE"/>
        </w:rPr>
        <w:t>Mater. Interfaces</w:t>
      </w:r>
      <w:r w:rsidRPr="00DC22FA">
        <w:rPr>
          <w:lang w:val="de-DE"/>
        </w:rPr>
        <w:t xml:space="preserve"> </w:t>
      </w:r>
      <w:r w:rsidRPr="00DC22FA">
        <w:rPr>
          <w:b/>
          <w:bCs/>
          <w:lang w:val="de-DE"/>
        </w:rPr>
        <w:t>2017</w:t>
      </w:r>
      <w:r w:rsidRPr="00DC22FA">
        <w:rPr>
          <w:lang w:val="de-DE"/>
        </w:rPr>
        <w:t xml:space="preserve">, </w:t>
      </w:r>
      <w:r w:rsidRPr="00DC22FA">
        <w:rPr>
          <w:i/>
          <w:iCs/>
          <w:lang w:val="de-DE"/>
        </w:rPr>
        <w:t>9</w:t>
      </w:r>
      <w:r w:rsidRPr="00DC22FA">
        <w:rPr>
          <w:lang w:val="de-DE"/>
        </w:rPr>
        <w:t>, 3123.</w:t>
      </w:r>
    </w:p>
    <w:p w14:paraId="775871CD" w14:textId="77777777" w:rsidR="002D2BD6" w:rsidRPr="00A53546" w:rsidRDefault="002D2BD6" w:rsidP="00352140">
      <w:pPr>
        <w:tabs>
          <w:tab w:val="left" w:pos="397"/>
        </w:tabs>
        <w:ind w:left="397" w:hanging="397"/>
        <w:jc w:val="both"/>
        <w:rPr>
          <w:lang w:val="de-DE"/>
        </w:rPr>
      </w:pPr>
      <w:r w:rsidRPr="00A53546">
        <w:rPr>
          <w:lang w:val="de-DE"/>
        </w:rPr>
        <w:t>[</w:t>
      </w:r>
      <w:r>
        <w:rPr>
          <w:lang w:val="de-DE"/>
        </w:rPr>
        <w:t>4</w:t>
      </w:r>
      <w:r w:rsidRPr="00A53546">
        <w:rPr>
          <w:lang w:val="de-DE"/>
        </w:rPr>
        <w:t>]</w:t>
      </w:r>
      <w:r w:rsidRPr="00A53546">
        <w:rPr>
          <w:lang w:val="de-DE"/>
        </w:rPr>
        <w:tab/>
        <w:t xml:space="preserve">T. S. Watkins, D. </w:t>
      </w:r>
      <w:proofErr w:type="spellStart"/>
      <w:r w:rsidRPr="00A53546">
        <w:rPr>
          <w:lang w:val="de-DE"/>
        </w:rPr>
        <w:t>Sarbapalli</w:t>
      </w:r>
      <w:proofErr w:type="spellEnd"/>
      <w:r w:rsidRPr="00A53546">
        <w:rPr>
          <w:lang w:val="de-DE"/>
        </w:rPr>
        <w:t xml:space="preserve">, M. J. </w:t>
      </w:r>
      <w:proofErr w:type="spellStart"/>
      <w:r w:rsidRPr="00A53546">
        <w:rPr>
          <w:lang w:val="de-DE"/>
        </w:rPr>
        <w:t>Counihan</w:t>
      </w:r>
      <w:proofErr w:type="spellEnd"/>
      <w:r w:rsidRPr="00A53546">
        <w:rPr>
          <w:lang w:val="de-DE"/>
        </w:rPr>
        <w:t xml:space="preserve">, A. S. Danis, J. Zhang, L. Zhang, K. R. </w:t>
      </w:r>
      <w:proofErr w:type="spellStart"/>
      <w:r w:rsidRPr="00A53546">
        <w:rPr>
          <w:lang w:val="de-DE"/>
        </w:rPr>
        <w:t>Zavadil</w:t>
      </w:r>
      <w:proofErr w:type="spellEnd"/>
      <w:r w:rsidRPr="00A53546">
        <w:rPr>
          <w:lang w:val="de-DE"/>
        </w:rPr>
        <w:t xml:space="preserve">, J. Rodríguez-López, </w:t>
      </w:r>
      <w:r w:rsidRPr="00A53546">
        <w:rPr>
          <w:i/>
          <w:iCs/>
          <w:lang w:val="de-DE"/>
        </w:rPr>
        <w:t>J. Mater. Chem. A</w:t>
      </w:r>
      <w:r w:rsidRPr="00A53546">
        <w:rPr>
          <w:lang w:val="de-DE"/>
        </w:rPr>
        <w:t xml:space="preserve"> </w:t>
      </w:r>
      <w:r w:rsidRPr="00A53546">
        <w:rPr>
          <w:b/>
          <w:bCs/>
          <w:lang w:val="de-DE"/>
        </w:rPr>
        <w:t>2020</w:t>
      </w:r>
      <w:r w:rsidRPr="00A53546">
        <w:rPr>
          <w:lang w:val="de-DE"/>
        </w:rPr>
        <w:t xml:space="preserve">, </w:t>
      </w:r>
      <w:r w:rsidRPr="00A53546">
        <w:rPr>
          <w:i/>
          <w:iCs/>
          <w:lang w:val="de-DE"/>
        </w:rPr>
        <w:t>8</w:t>
      </w:r>
      <w:r w:rsidRPr="00A53546">
        <w:rPr>
          <w:lang w:val="de-DE"/>
        </w:rPr>
        <w:t>, 15734.</w:t>
      </w:r>
    </w:p>
    <w:p w14:paraId="22CD1406" w14:textId="6CF174F1" w:rsidR="00E0716D" w:rsidRDefault="002D2BD6" w:rsidP="00352140">
      <w:pPr>
        <w:tabs>
          <w:tab w:val="left" w:pos="397"/>
        </w:tabs>
        <w:ind w:left="397" w:hanging="397"/>
        <w:jc w:val="both"/>
        <w:rPr>
          <w:lang w:val="de-DE"/>
        </w:rPr>
      </w:pPr>
      <w:r w:rsidRPr="00A53546">
        <w:rPr>
          <w:lang w:val="de-DE"/>
        </w:rPr>
        <w:t>[</w:t>
      </w:r>
      <w:r>
        <w:rPr>
          <w:lang w:val="de-DE"/>
        </w:rPr>
        <w:t>5</w:t>
      </w:r>
      <w:r w:rsidRPr="00A53546">
        <w:rPr>
          <w:lang w:val="de-DE"/>
        </w:rPr>
        <w:t>]</w:t>
      </w:r>
      <w:r w:rsidRPr="00A53546">
        <w:rPr>
          <w:lang w:val="de-DE"/>
        </w:rPr>
        <w:tab/>
        <w:t xml:space="preserve">S. </w:t>
      </w:r>
      <w:proofErr w:type="spellStart"/>
      <w:r w:rsidRPr="00A53546">
        <w:rPr>
          <w:lang w:val="de-DE"/>
        </w:rPr>
        <w:t>Daboss</w:t>
      </w:r>
      <w:proofErr w:type="spellEnd"/>
      <w:r w:rsidRPr="00A53546">
        <w:rPr>
          <w:lang w:val="de-DE"/>
        </w:rPr>
        <w:t xml:space="preserve">, T. Philipp, K. </w:t>
      </w:r>
      <w:proofErr w:type="spellStart"/>
      <w:r w:rsidRPr="00A53546">
        <w:rPr>
          <w:lang w:val="de-DE"/>
        </w:rPr>
        <w:t>Palanisamy</w:t>
      </w:r>
      <w:proofErr w:type="spellEnd"/>
      <w:r w:rsidRPr="00A53546">
        <w:rPr>
          <w:lang w:val="de-DE"/>
        </w:rPr>
        <w:t xml:space="preserve">, J. Flowers, H. S. Stein, C. Kranz, </w:t>
      </w:r>
      <w:proofErr w:type="spellStart"/>
      <w:r w:rsidRPr="00A53546">
        <w:rPr>
          <w:i/>
          <w:iCs/>
          <w:lang w:val="de-DE"/>
        </w:rPr>
        <w:t>Electrochim</w:t>
      </w:r>
      <w:proofErr w:type="spellEnd"/>
      <w:r w:rsidRPr="00A53546">
        <w:rPr>
          <w:i/>
          <w:iCs/>
          <w:lang w:val="de-DE"/>
        </w:rPr>
        <w:t>. Acta</w:t>
      </w:r>
      <w:r w:rsidRPr="00A53546">
        <w:rPr>
          <w:lang w:val="de-DE"/>
        </w:rPr>
        <w:t xml:space="preserve"> </w:t>
      </w:r>
      <w:r w:rsidRPr="00A53546">
        <w:rPr>
          <w:b/>
          <w:bCs/>
          <w:lang w:val="de-DE"/>
        </w:rPr>
        <w:t>2023</w:t>
      </w:r>
      <w:r w:rsidRPr="00A53546">
        <w:rPr>
          <w:lang w:val="de-DE"/>
        </w:rPr>
        <w:t xml:space="preserve">, </w:t>
      </w:r>
      <w:r w:rsidRPr="00A53546">
        <w:rPr>
          <w:i/>
          <w:iCs/>
          <w:lang w:val="de-DE"/>
        </w:rPr>
        <w:t>453</w:t>
      </w:r>
      <w:r w:rsidRPr="00A53546">
        <w:rPr>
          <w:lang w:val="de-DE"/>
        </w:rPr>
        <w:t>, 142345.</w:t>
      </w:r>
    </w:p>
    <w:p w14:paraId="3842514E" w14:textId="0AC9DA8B" w:rsidR="007C2812" w:rsidRDefault="007C2812" w:rsidP="00352140">
      <w:pPr>
        <w:tabs>
          <w:tab w:val="left" w:pos="397"/>
        </w:tabs>
        <w:ind w:left="397" w:hanging="397"/>
        <w:jc w:val="both"/>
      </w:pPr>
      <w:r>
        <w:rPr>
          <w:lang w:val="de-DE"/>
        </w:rPr>
        <w:t>[6]</w:t>
      </w:r>
      <w:r>
        <w:rPr>
          <w:lang w:val="de-DE"/>
        </w:rPr>
        <w:tab/>
      </w:r>
      <w:r w:rsidRPr="005D48A5">
        <w:rPr>
          <w:lang w:val="de-DE"/>
        </w:rPr>
        <w:t xml:space="preserve">M. Muhle, C. Dosche G. Wittstock; </w:t>
      </w:r>
      <w:r w:rsidRPr="005D48A5">
        <w:rPr>
          <w:rStyle w:val="Journal"/>
          <w:lang w:val="de-DE"/>
        </w:rPr>
        <w:t xml:space="preserve">Chem. </w:t>
      </w:r>
      <w:r w:rsidRPr="00FD3AFC">
        <w:rPr>
          <w:rStyle w:val="Journal"/>
        </w:rPr>
        <w:t>Mater.</w:t>
      </w:r>
      <w:r>
        <w:t xml:space="preserve"> </w:t>
      </w:r>
      <w:r w:rsidRPr="00FD3AFC">
        <w:rPr>
          <w:rStyle w:val="Jahr"/>
        </w:rPr>
        <w:t>2026</w:t>
      </w:r>
      <w:r>
        <w:t xml:space="preserve">, </w:t>
      </w:r>
      <w:r w:rsidRPr="00002214">
        <w:rPr>
          <w:i/>
          <w:iCs/>
        </w:rPr>
        <w:t>38</w:t>
      </w:r>
      <w:r>
        <w:t>, 1178-1188.</w:t>
      </w:r>
    </w:p>
    <w:sectPr w:rsidR="007C2812"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0460FB"/>
    <w:rsid w:val="00103CDA"/>
    <w:rsid w:val="00275153"/>
    <w:rsid w:val="002C376D"/>
    <w:rsid w:val="002D2BD6"/>
    <w:rsid w:val="00325004"/>
    <w:rsid w:val="00352140"/>
    <w:rsid w:val="004F66E4"/>
    <w:rsid w:val="00536366"/>
    <w:rsid w:val="005D48A5"/>
    <w:rsid w:val="00675B4B"/>
    <w:rsid w:val="00685C1A"/>
    <w:rsid w:val="007805B8"/>
    <w:rsid w:val="007C2812"/>
    <w:rsid w:val="00934C67"/>
    <w:rsid w:val="00D45BDB"/>
    <w:rsid w:val="00E0191F"/>
    <w:rsid w:val="00E0716D"/>
    <w:rsid w:val="00E847D5"/>
    <w:rsid w:val="00EB359F"/>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9174F7"/>
  <w14:defaultImageDpi w14:val="300"/>
  <w15:docId w15:val="{83B10A03-A51E-4883-9F84-F58AE345D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0716D"/>
    <w:pPr>
      <w:widowControl w:val="0"/>
    </w:pPr>
    <w:rPr>
      <w:snapToGrid w:val="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Jahr">
    <w:name w:val="Jahr"/>
    <w:rsid w:val="007C2812"/>
    <w:rPr>
      <w:b/>
    </w:rPr>
  </w:style>
  <w:style w:type="character" w:customStyle="1" w:styleId="Journal">
    <w:name w:val="Journal"/>
    <w:rsid w:val="007C2812"/>
    <w:rPr>
      <w:i/>
    </w:rPr>
  </w:style>
  <w:style w:type="paragraph" w:styleId="berarbeitung">
    <w:name w:val="Revision"/>
    <w:hidden/>
    <w:uiPriority w:val="99"/>
    <w:semiHidden/>
    <w:rsid w:val="005D48A5"/>
    <w:rPr>
      <w:snapToGrid w:val="0"/>
    </w:rPr>
  </w:style>
  <w:style w:type="character" w:styleId="Kommentarzeichen">
    <w:name w:val="annotation reference"/>
    <w:basedOn w:val="Absatz-Standardschriftart"/>
    <w:uiPriority w:val="99"/>
    <w:semiHidden/>
    <w:unhideWhenUsed/>
    <w:rsid w:val="005D48A5"/>
    <w:rPr>
      <w:sz w:val="16"/>
      <w:szCs w:val="16"/>
    </w:rPr>
  </w:style>
  <w:style w:type="paragraph" w:styleId="Kommentartext">
    <w:name w:val="annotation text"/>
    <w:basedOn w:val="Standard"/>
    <w:link w:val="KommentartextZchn"/>
    <w:uiPriority w:val="99"/>
    <w:unhideWhenUsed/>
    <w:rsid w:val="005D48A5"/>
  </w:style>
  <w:style w:type="character" w:customStyle="1" w:styleId="KommentartextZchn">
    <w:name w:val="Kommentartext Zchn"/>
    <w:basedOn w:val="Absatz-Standardschriftart"/>
    <w:link w:val="Kommentartext"/>
    <w:uiPriority w:val="99"/>
    <w:rsid w:val="005D48A5"/>
    <w:rPr>
      <w:snapToGrid w:val="0"/>
    </w:rPr>
  </w:style>
  <w:style w:type="paragraph" w:styleId="Kommentarthema">
    <w:name w:val="annotation subject"/>
    <w:basedOn w:val="Kommentartext"/>
    <w:next w:val="Kommentartext"/>
    <w:link w:val="KommentarthemaZchn"/>
    <w:uiPriority w:val="99"/>
    <w:semiHidden/>
    <w:unhideWhenUsed/>
    <w:rsid w:val="005D48A5"/>
    <w:rPr>
      <w:b/>
      <w:bCs/>
    </w:rPr>
  </w:style>
  <w:style w:type="character" w:customStyle="1" w:styleId="KommentarthemaZchn">
    <w:name w:val="Kommentarthema Zchn"/>
    <w:basedOn w:val="KommentartextZchn"/>
    <w:link w:val="Kommentarthema"/>
    <w:uiPriority w:val="99"/>
    <w:semiHidden/>
    <w:rsid w:val="005D48A5"/>
    <w:rPr>
      <w:b/>
      <w:bCs/>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721</Words>
  <Characters>4030</Characters>
  <Application>Microsoft Office Word</Application>
  <DocSecurity>0</DocSecurity>
  <Lines>33</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Gunther Wittstock</cp:lastModifiedBy>
  <cp:revision>2</cp:revision>
  <cp:lastPrinted>2013-10-21T12:07:00Z</cp:lastPrinted>
  <dcterms:created xsi:type="dcterms:W3CDTF">2026-04-07T11:51:00Z</dcterms:created>
  <dcterms:modified xsi:type="dcterms:W3CDTF">2026-04-07T11:51:00Z</dcterms:modified>
</cp:coreProperties>
</file>