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i w:val="false"/>
          <w:iCs w:val="false"/>
          <w:sz w:val="28"/>
        </w:rPr>
      </w:pPr>
      <w:r>
        <w:rPr>
          <w:b/>
          <w:sz w:val="28"/>
        </w:rPr>
        <w:t xml:space="preserve">Millisecond EIS: a Promising Tool for </w:t>
      </w:r>
      <w:r>
        <w:rPr>
          <w:b/>
          <w:i/>
          <w:iCs/>
          <w:sz w:val="28"/>
        </w:rPr>
        <w:t>in situ</w:t>
      </w:r>
      <w:r>
        <w:rPr>
          <w:b/>
          <w:i w:val="false"/>
          <w:iCs w:val="false"/>
          <w:sz w:val="28"/>
        </w:rPr>
        <w:t xml:space="preserve"> Corrosion Studies</w:t>
      </w:r>
    </w:p>
    <w:p>
      <w:pPr>
        <w:pStyle w:val="Normal"/>
        <w:jc w:val="center"/>
        <w:rPr>
          <w:b/>
          <w:sz w:val="28"/>
        </w:rPr>
      </w:pPr>
      <w:r>
        <w:rPr>
          <w:b/>
          <w:sz w:val="28"/>
        </w:rPr>
      </w:r>
    </w:p>
    <w:p>
      <w:pPr>
        <w:pStyle w:val="Normal"/>
        <w:jc w:val="center"/>
        <w:rPr/>
      </w:pPr>
      <w:r>
        <w:rPr>
          <w:u w:val="single"/>
        </w:rPr>
        <w:t>Hubert Kwiatkowski</w:t>
      </w:r>
      <w:r>
        <w:rPr/>
        <w:t>, Paweł Ślepski, Łukasz Gaweł</w:t>
      </w:r>
    </w:p>
    <w:p>
      <w:pPr>
        <w:pStyle w:val="Normal"/>
        <w:jc w:val="center"/>
        <w:rPr>
          <w:i/>
        </w:rPr>
      </w:pPr>
      <w:r>
        <w:rPr>
          <w:i/>
        </w:rPr>
        <w:t>Department of Corrosion and Electrochemistry, Faculty of Chemistry, Gda</w:t>
      </w:r>
      <w:r>
        <w:rPr>
          <w:i/>
        </w:rPr>
        <w:t>ń</w:t>
      </w:r>
      <w:r>
        <w:rPr>
          <w:i/>
        </w:rPr>
        <w:t>sk University of Technology</w:t>
      </w:r>
    </w:p>
    <w:p>
      <w:pPr>
        <w:pStyle w:val="Normal"/>
        <w:jc w:val="center"/>
        <w:rPr/>
      </w:pPr>
      <w:r>
        <w:rPr>
          <w:i/>
        </w:rPr>
        <w:t>Narutowicza 11/12 Str., 80-233 Gdańsk, Poland</w:t>
      </w:r>
    </w:p>
    <w:p>
      <w:pPr>
        <w:pStyle w:val="Normal"/>
        <w:jc w:val="center"/>
        <w:rPr>
          <w:i/>
        </w:rPr>
      </w:pPr>
      <w:r>
        <w:rPr>
          <w:i/>
        </w:rPr>
        <w:t>s189130@student.pg.edu.pl</w:t>
      </w:r>
    </w:p>
    <w:p>
      <w:pPr>
        <w:pStyle w:val="Normal"/>
        <w:jc w:val="center"/>
        <w:rPr/>
      </w:pPr>
      <w:r>
        <w:rPr/>
      </w:r>
    </w:p>
    <w:p>
      <w:pPr>
        <w:pStyle w:val="Normal"/>
        <w:jc w:val="both"/>
        <w:rPr/>
      </w:pPr>
      <w:r>
        <w:rPr/>
        <w:t xml:space="preserve">The non-stationary behavior and complexity of corrosion systems make </w:t>
      </w:r>
      <w:r>
        <w:rPr>
          <w:i/>
          <w:iCs/>
        </w:rPr>
        <w:t>in situ</w:t>
      </w:r>
      <w:r>
        <w:rPr>
          <w:i w:val="false"/>
          <w:iCs w:val="false"/>
        </w:rPr>
        <w:t xml:space="preserve"> measurement techniques particularly valuable for studying the degradation of metallic materials. This work aims to evaluate the applicability of ultra-rapid electrochemical impedance spectroscopy (EIS) for studying corrosion phenomena.</w:t>
      </w:r>
    </w:p>
    <w:p>
      <w:pPr>
        <w:pStyle w:val="Normal"/>
        <w:jc w:val="both"/>
        <w:rPr/>
      </w:pPr>
      <w:r>
        <w:rPr/>
        <w:t xml:space="preserve">The presented technique applies a narrow potential step as the excitation signal. Subsequently, the derivatives of the current and voltage signals are calculated (Figure </w:t>
      </w:r>
      <w:r>
        <w:rPr/>
        <w:t>1</w:t>
      </w:r>
      <w:r>
        <w:rPr/>
        <w:t>). Since the potential derivative approaches a Dirac delta- a su</w:t>
      </w:r>
      <w:r>
        <w:rPr/>
        <w:t>perposition</w:t>
      </w:r>
      <w:r>
        <w:rPr/>
        <w:t xml:space="preserve"> of sinusoids with all frequencies- the derivative of the current signal contains the response over a wide frequency range</w:t>
      </w:r>
      <w:r>
        <w:rPr>
          <w:vertAlign w:val="superscript"/>
        </w:rPr>
        <w:t>1</w:t>
      </w:r>
      <w:r>
        <w:rPr/>
        <w:t xml:space="preserve">. </w:t>
      </w:r>
      <w:r>
        <w:rPr/>
        <w:t xml:space="preserve">Therefore, application of Discrete Fourier Transform to both potential and current derivatives allows to obtain EIS spectra. </w:t>
      </w:r>
    </w:p>
    <w:p>
      <w:pPr>
        <w:pStyle w:val="Normal"/>
        <w:jc w:val="both"/>
        <w:rPr/>
      </w:pPr>
      <w:r>
        <w:rPr/>
        <w:t>The method was applied to several corrosion systems, from typical activation-controlled steel corrosion in sulfuric acid to systems with more complex impedance characteristics</w:t>
      </w:r>
      <w:r>
        <w:rPr>
          <w:vertAlign w:val="superscript"/>
        </w:rPr>
        <w:t>2</w:t>
      </w:r>
      <w:r>
        <w:rPr/>
        <w:t xml:space="preserve">. The time windows used to reconstruct the spectra are between 0.4 and 50 ms, which is significantly shorter than in the case of frequency response analysis </w:t>
      </w:r>
      <w:r>
        <w:rPr/>
        <w:t xml:space="preserve">(FRA) </w:t>
      </w:r>
      <w:r>
        <w:rPr/>
        <w:t xml:space="preserve">or </w:t>
      </w:r>
      <w:r>
        <w:rPr/>
        <w:t>techniques</w:t>
      </w:r>
      <w:r>
        <w:rPr/>
        <w:t xml:space="preserve"> employing multisinusoidal perturbation. </w:t>
      </w:r>
      <w:r>
        <w:rPr/>
        <w:t>T</w:t>
      </w:r>
      <w:r>
        <w:rPr/>
        <w:t xml:space="preserve">he method </w:t>
      </w:r>
      <w:r>
        <w:rPr/>
        <w:t>effectively</w:t>
      </w:r>
      <w:r>
        <w:rPr/>
        <w:t xml:space="preserve"> probes</w:t>
      </w:r>
      <w:r>
        <w:rPr/>
        <w:t xml:space="preserve"> relatively fast processes </w:t>
      </w:r>
      <w:r>
        <w:rPr/>
        <w:t xml:space="preserve">and yields charge-transfer resistance values comparable to those obtained with FRA. It was also noted that due to the short measurement duration, processes with longer relaxation times may not provide an unambiguous response.   </w:t>
      </w:r>
    </w:p>
    <w:p>
      <w:pPr>
        <w:pStyle w:val="Normal"/>
        <w:jc w:val="both"/>
        <w:rPr/>
      </w:pPr>
      <w:r>
        <w:rPr/>
        <w:t>The presented method shows strong potential for application to rapidly changing corrosion systems, where the time resolution of well-established EIS techniques is insufficient.</w:t>
      </w:r>
    </w:p>
    <w:p>
      <w:pPr>
        <w:pStyle w:val="Normal"/>
        <w:jc w:val="both"/>
        <w:rPr/>
      </w:pPr>
      <w:r>
        <w:rPr/>
      </w:r>
    </w:p>
    <w:p>
      <w:pPr>
        <w:pStyle w:val="Normal"/>
        <w:jc w:val="center"/>
        <w:rPr/>
      </w:pPr>
      <w:r>
        <w:rPr/>
        <w:drawing>
          <wp:inline distT="0" distB="0" distL="0" distR="0">
            <wp:extent cx="5400040" cy="2280285"/>
            <wp:effectExtent l="0" t="0" r="0" b="0"/>
            <wp:docPr id="1"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pic:cNvPicPr>
                      <a:picLocks noChangeAspect="1" noChangeArrowheads="1"/>
                    </pic:cNvPicPr>
                  </pic:nvPicPr>
                  <pic:blipFill>
                    <a:blip r:embed="rId2"/>
                    <a:stretch>
                      <a:fillRect/>
                    </a:stretch>
                  </pic:blipFill>
                  <pic:spPr bwMode="auto">
                    <a:xfrm>
                      <a:off x="0" y="0"/>
                      <a:ext cx="5400040" cy="2280285"/>
                    </a:xfrm>
                    <a:prstGeom prst="rect">
                      <a:avLst/>
                    </a:prstGeom>
                    <a:noFill/>
                  </pic:spPr>
                </pic:pic>
              </a:graphicData>
            </a:graphic>
          </wp:inline>
        </w:drawing>
      </w:r>
    </w:p>
    <w:p>
      <w:pPr>
        <w:pStyle w:val="Normal"/>
        <w:jc w:val="center"/>
        <w:rPr/>
      </w:pPr>
      <w:r>
        <w:rPr/>
        <w:t xml:space="preserve">Figure </w:t>
      </w:r>
      <w:r>
        <w:rPr/>
        <w:t>1</w:t>
      </w:r>
      <w:r>
        <w:rPr/>
        <w:t>. Schematic diagram of signal processing workflow in the presented method</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start"/>
        <w:rPr/>
      </w:pPr>
      <w:r>
        <w:rPr/>
      </w:r>
    </w:p>
    <w:p>
      <w:pPr>
        <w:pStyle w:val="Normal"/>
        <w:jc w:val="start"/>
        <w:rPr/>
      </w:pPr>
      <w:r>
        <w:rPr>
          <w:vertAlign w:val="superscript"/>
        </w:rPr>
        <w:t>1</w:t>
      </w:r>
      <w:r>
        <w:rPr>
          <w:b w:val="false"/>
          <w:i w:val="false"/>
          <w:caps w:val="false"/>
          <w:smallCaps w:val="false"/>
          <w:color w:val="222222"/>
          <w:spacing w:val="0"/>
          <w:sz w:val="20"/>
          <w:szCs w:val="20"/>
        </w:rPr>
        <w:t>Yoo, J. S., Park, S. M. (2000). An electrochemical impedance measurement technique employing Fourier transform. </w:t>
      </w:r>
      <w:r>
        <w:rPr>
          <w:b w:val="false"/>
          <w:i/>
          <w:color w:val="222222"/>
          <w:spacing w:val="0"/>
          <w:sz w:val="20"/>
          <w:szCs w:val="20"/>
        </w:rPr>
        <w:t>Analytical chemistry</w:t>
      </w:r>
      <w:r>
        <w:rPr>
          <w:b w:val="false"/>
          <w:i w:val="false"/>
          <w:caps w:val="false"/>
          <w:smallCaps w:val="false"/>
          <w:color w:val="222222"/>
          <w:spacing w:val="0"/>
          <w:sz w:val="20"/>
          <w:szCs w:val="20"/>
        </w:rPr>
        <w:t>, </w:t>
      </w:r>
      <w:r>
        <w:rPr>
          <w:b w:val="false"/>
          <w:i/>
          <w:color w:val="222222"/>
          <w:spacing w:val="0"/>
          <w:sz w:val="20"/>
          <w:szCs w:val="20"/>
        </w:rPr>
        <w:t>72</w:t>
      </w:r>
      <w:r>
        <w:rPr>
          <w:b w:val="false"/>
          <w:i w:val="false"/>
          <w:caps w:val="false"/>
          <w:smallCaps w:val="false"/>
          <w:color w:val="222222"/>
          <w:spacing w:val="0"/>
          <w:sz w:val="20"/>
          <w:szCs w:val="20"/>
        </w:rPr>
        <w:t>(9), 2035-2041</w:t>
      </w:r>
    </w:p>
    <w:p>
      <w:pPr>
        <w:pStyle w:val="BodyText"/>
        <w:spacing w:before="0" w:after="140"/>
        <w:rPr/>
      </w:pPr>
      <w:r>
        <w:rPr>
          <w:b w:val="false"/>
          <w:i w:val="false"/>
          <w:caps w:val="false"/>
          <w:smallCaps w:val="false"/>
          <w:color w:val="222222"/>
          <w:spacing w:val="0"/>
          <w:sz w:val="20"/>
          <w:szCs w:val="20"/>
          <w:vertAlign w:val="superscript"/>
        </w:rPr>
        <w:t>2</w:t>
      </w:r>
      <w:r>
        <w:rPr>
          <w:rFonts w:ascii="Times New Roman" w:hAnsi="Times New Roman"/>
          <w:b w:val="false"/>
          <w:i w:val="false"/>
          <w:caps w:val="false"/>
          <w:smallCaps w:val="false"/>
          <w:color w:val="222222"/>
          <w:spacing w:val="0"/>
          <w:sz w:val="20"/>
          <w:szCs w:val="20"/>
        </w:rPr>
        <w:t>Kwiatkowski, H., Ślepski, P., Gawe</w:t>
      </w:r>
      <w:r>
        <w:rPr>
          <w:rFonts w:ascii="Times New Roman" w:hAnsi="Times New Roman"/>
          <w:b w:val="false"/>
          <w:i w:val="false"/>
          <w:caps w:val="false"/>
          <w:smallCaps w:val="false"/>
          <w:color w:val="222222"/>
          <w:spacing w:val="0"/>
          <w:sz w:val="20"/>
          <w:szCs w:val="20"/>
        </w:rPr>
        <w:t>ł</w:t>
      </w:r>
      <w:r>
        <w:rPr>
          <w:rFonts w:ascii="Times New Roman" w:hAnsi="Times New Roman"/>
          <w:b w:val="false"/>
          <w:i w:val="false"/>
          <w:caps w:val="false"/>
          <w:smallCaps w:val="false"/>
          <w:color w:val="222222"/>
          <w:spacing w:val="0"/>
          <w:sz w:val="20"/>
          <w:szCs w:val="20"/>
        </w:rPr>
        <w:t xml:space="preserve"> </w:t>
      </w:r>
      <w:r>
        <w:rPr>
          <w:rFonts w:ascii="Times New Roman" w:hAnsi="Times New Roman"/>
          <w:b w:val="false"/>
          <w:i w:val="false"/>
          <w:caps w:val="false"/>
          <w:smallCaps w:val="false"/>
          <w:color w:val="222222"/>
          <w:spacing w:val="0"/>
          <w:sz w:val="20"/>
          <w:szCs w:val="20"/>
        </w:rPr>
        <w:t>Ł.</w:t>
      </w:r>
      <w:r>
        <w:rPr>
          <w:rFonts w:ascii="Times New Roman" w:hAnsi="Times New Roman"/>
          <w:b w:val="false"/>
          <w:i w:val="false"/>
          <w:caps w:val="false"/>
          <w:smallCaps w:val="false"/>
          <w:color w:val="222222"/>
          <w:spacing w:val="0"/>
          <w:sz w:val="20"/>
          <w:szCs w:val="20"/>
        </w:rPr>
        <w:t xml:space="preserve"> (2026). Evaluating millisecond electrochemical impedance spectroscopy for corrosion systems. </w:t>
      </w:r>
      <w:r>
        <w:rPr>
          <w:rFonts w:ascii="Times New Roman" w:hAnsi="Times New Roman"/>
          <w:b w:val="false"/>
          <w:i/>
          <w:color w:val="222222"/>
          <w:spacing w:val="0"/>
          <w:sz w:val="20"/>
          <w:szCs w:val="20"/>
        </w:rPr>
        <w:t>Electrochimica Acta</w:t>
      </w:r>
      <w:r>
        <w:rPr>
          <w:rFonts w:ascii="Times New Roman" w:hAnsi="Times New Roman"/>
          <w:b w:val="false"/>
          <w:i w:val="false"/>
          <w:caps w:val="false"/>
          <w:smallCaps w:val="false"/>
          <w:color w:val="222222"/>
          <w:spacing w:val="0"/>
          <w:sz w:val="20"/>
          <w:szCs w:val="20"/>
        </w:rPr>
        <w:t>, 148888</w:t>
      </w:r>
      <w:r>
        <w:rPr>
          <w:rFonts w:ascii="Times New Roman" w:hAnsi="Times New Roman"/>
          <w:sz w:val="20"/>
          <w:szCs w:val="20"/>
        </w:rPr>
        <w:t xml:space="preserve"> </w:t>
      </w:r>
    </w:p>
    <w:sectPr>
      <w:type w:val="nextPage"/>
      <w:pgSz w:w="11906" w:h="16838"/>
      <w:pgMar w:left="1701" w:right="1701" w:gutter="0" w:header="0" w:top="1701" w:footer="0" w:bottom="170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Times New Roman">
    <w:charset w:val="ee" w:characterSet="windows-1250"/>
    <w:family w:val="roman"/>
    <w:pitch w:val="variable"/>
  </w:font>
  <w:font w:name="Liberation Sans">
    <w:altName w:val="Arial"/>
    <w:charset w:val="ee" w:characterSet="windows-125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360"/>
  <w:doNotHyphenateCap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0716d"/>
    <w:pPr>
      <w:widowControl w:val="false"/>
      <w:suppressAutoHyphens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character" w:styleId="DefaultParagraphFont" w:default="1">
    <w:name w:val="Default Paragraph Font"/>
    <w:semiHidden/>
    <w:qFormat/>
    <w:rPr/>
  </w:style>
  <w:style w:type="character" w:styleId="Znakiprzypiswdolnych">
    <w:name w:val="Znaki przypisów dolnych"/>
    <w:qFormat/>
    <w:rPr/>
  </w:style>
  <w:style w:type="character" w:styleId="Znakiprzypiswkocowych">
    <w:name w:val="Znaki przypisów końcowych"/>
    <w:qFormat/>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numbering" w:styleId="Bezlisty" w:default="1">
    <w:name w:val="Bez listy"/>
    <w:semiHidden/>
    <w:qFormat/>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34</TotalTime>
  <Application>LibreOffice/26.2.0.3$Windows_X86_64 LibreOffice_project/620$Build-3</Application>
  <AppVersion>15.0000</AppVersion>
  <Pages>1</Pages>
  <Words>312</Words>
  <Characters>2028</Characters>
  <CharactersWithSpaces>2333</CharactersWithSpaces>
  <Paragraphs>13</Paragraphs>
  <Company>Electrochemical Society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2021-03-10T13:20:00Z</dcterms:created>
  <dc:creator>Electrochemical</dc:creator>
  <dc:description/>
  <dc:language>pl-PL</dc:language>
  <cp:lastModifiedBy/>
  <cp:lastPrinted>2013-10-21T12:07:00Z</cp:lastPrinted>
  <dcterms:modified xsi:type="dcterms:W3CDTF">2026-05-29T18:33:57Z</dcterms:modified>
  <cp:revision>6</cp:revision>
  <dc:subject/>
  <dc:title>Title</dc:title>
</cp:coreProperties>
</file>

<file path=docProps/custom.xml><?xml version="1.0" encoding="utf-8"?>
<Properties xmlns="http://schemas.openxmlformats.org/officeDocument/2006/custom-properties" xmlns:vt="http://schemas.openxmlformats.org/officeDocument/2006/docPropsVTypes"/>
</file>