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C7218" w14:textId="396EC193" w:rsidR="00141AD1" w:rsidRDefault="00177139" w:rsidP="00E0716D">
      <w:pPr>
        <w:jc w:val="center"/>
        <w:rPr>
          <w:b/>
          <w:sz w:val="28"/>
        </w:rPr>
      </w:pPr>
      <w:r w:rsidRPr="00177139">
        <w:rPr>
          <w:b/>
          <w:sz w:val="28"/>
        </w:rPr>
        <w:t>Validation of Alloy-Based Reference Electrodes for Electrode-Resolved Measurements in Solid-State Batteries</w:t>
      </w:r>
    </w:p>
    <w:p w14:paraId="3BAFBF40" w14:textId="77777777" w:rsidR="00177139" w:rsidRPr="002937BC" w:rsidRDefault="00177139" w:rsidP="00E0716D">
      <w:pPr>
        <w:jc w:val="center"/>
        <w:rPr>
          <w:b/>
          <w:sz w:val="28"/>
        </w:rPr>
      </w:pPr>
    </w:p>
    <w:p w14:paraId="081E34AC" w14:textId="14929E24" w:rsidR="00325004" w:rsidRPr="002937BC" w:rsidRDefault="000B23AB" w:rsidP="00E0716D">
      <w:pPr>
        <w:jc w:val="center"/>
        <w:rPr>
          <w:lang w:val="de-DE"/>
        </w:rPr>
      </w:pPr>
      <w:r w:rsidRPr="002937BC">
        <w:rPr>
          <w:u w:val="single"/>
          <w:lang w:val="de-DE"/>
        </w:rPr>
        <w:t>Jingxuan Zhang</w:t>
      </w:r>
      <w:r w:rsidRPr="002937BC">
        <w:rPr>
          <w:lang w:val="de-DE"/>
        </w:rPr>
        <w:t>, Wolfgang</w:t>
      </w:r>
      <w:r w:rsidR="00AD2D7C" w:rsidRPr="002937BC">
        <w:rPr>
          <w:lang w:val="de-DE" w:eastAsia="zh-CN"/>
        </w:rPr>
        <w:t> G. </w:t>
      </w:r>
      <w:r w:rsidRPr="002937BC">
        <w:rPr>
          <w:lang w:val="de-DE"/>
        </w:rPr>
        <w:t>Zeier</w:t>
      </w:r>
      <w:r w:rsidR="00B32FA8" w:rsidRPr="002937BC">
        <w:rPr>
          <w:vertAlign w:val="superscript"/>
          <w:lang w:val="de-DE" w:eastAsia="zh-CN"/>
        </w:rPr>
        <w:t>*</w:t>
      </w:r>
      <w:r w:rsidRPr="002937BC">
        <w:rPr>
          <w:lang w:val="de-DE"/>
        </w:rPr>
        <w:t xml:space="preserve">, Jake </w:t>
      </w:r>
      <w:r w:rsidR="00AD2D7C" w:rsidRPr="002937BC">
        <w:rPr>
          <w:lang w:val="de-DE"/>
        </w:rPr>
        <w:t>D</w:t>
      </w:r>
      <w:r w:rsidR="00AD2D7C" w:rsidRPr="002937BC">
        <w:rPr>
          <w:lang w:val="de-DE" w:eastAsia="zh-CN"/>
        </w:rPr>
        <w:t xml:space="preserve">. </w:t>
      </w:r>
      <w:r w:rsidRPr="002937BC">
        <w:rPr>
          <w:lang w:val="de-DE"/>
        </w:rPr>
        <w:t>Huang</w:t>
      </w:r>
      <w:r w:rsidR="00B32FA8" w:rsidRPr="002937BC">
        <w:rPr>
          <w:vertAlign w:val="superscript"/>
          <w:lang w:val="de-DE" w:eastAsia="zh-CN"/>
        </w:rPr>
        <w:t>*</w:t>
      </w:r>
    </w:p>
    <w:p w14:paraId="44C053CA" w14:textId="77777777" w:rsidR="00AD2D7C" w:rsidRPr="002937BC" w:rsidRDefault="00AD2D7C" w:rsidP="00E0716D">
      <w:pPr>
        <w:jc w:val="center"/>
        <w:rPr>
          <w:i/>
        </w:rPr>
      </w:pPr>
      <w:r w:rsidRPr="002937BC">
        <w:rPr>
          <w:i/>
        </w:rPr>
        <w:t xml:space="preserve">Institute of Inorganic and Analytical Chemistry, University of </w:t>
      </w:r>
      <w:proofErr w:type="spellStart"/>
      <w:r w:rsidRPr="002937BC">
        <w:rPr>
          <w:i/>
        </w:rPr>
        <w:t>Münster</w:t>
      </w:r>
      <w:proofErr w:type="spellEnd"/>
    </w:p>
    <w:p w14:paraId="252B6454" w14:textId="795FC1BC" w:rsidR="00325004" w:rsidRPr="003F5D2B" w:rsidRDefault="00AD2D7C" w:rsidP="00E0716D">
      <w:pPr>
        <w:jc w:val="center"/>
        <w:rPr>
          <w:i/>
          <w:iCs/>
        </w:rPr>
      </w:pPr>
      <w:r w:rsidRPr="003F5D2B">
        <w:rPr>
          <w:i/>
          <w:iCs/>
        </w:rPr>
        <w:t>48149 Münster</w:t>
      </w:r>
    </w:p>
    <w:p w14:paraId="0CB4A56A" w14:textId="7AE97A39" w:rsidR="00685C1A" w:rsidRPr="003F5D2B" w:rsidRDefault="00AD2D7C" w:rsidP="00E0716D">
      <w:pPr>
        <w:jc w:val="center"/>
        <w:rPr>
          <w:i/>
        </w:rPr>
      </w:pPr>
      <w:r w:rsidRPr="003F5D2B">
        <w:rPr>
          <w:i/>
          <w:lang w:eastAsia="zh-CN"/>
        </w:rPr>
        <w:t>jzhang2</w:t>
      </w:r>
      <w:r w:rsidRPr="003F5D2B">
        <w:rPr>
          <w:i/>
        </w:rPr>
        <w:t>@uni-muenster.de</w:t>
      </w:r>
    </w:p>
    <w:p w14:paraId="093A7E25" w14:textId="77777777" w:rsidR="00325004" w:rsidRPr="003F5D2B" w:rsidRDefault="00325004" w:rsidP="00E0716D">
      <w:pPr>
        <w:jc w:val="center"/>
      </w:pPr>
    </w:p>
    <w:p w14:paraId="5F953BA6" w14:textId="050630FD" w:rsidR="008B2B50" w:rsidRPr="002937BC" w:rsidRDefault="00AD2D7C" w:rsidP="00E0716D">
      <w:pPr>
        <w:jc w:val="both"/>
      </w:pPr>
      <w:r w:rsidRPr="002937BC">
        <w:t>Solid-state batteries (SSB) are governed by complex solid–solid interfacial processes</w:t>
      </w:r>
      <w:r w:rsidR="00AD3BAB" w:rsidRPr="002937BC">
        <w:rPr>
          <w:rFonts w:eastAsiaTheme="minorHAnsi"/>
        </w:rPr>
        <w:fldChar w:fldCharType="begin"/>
      </w:r>
      <w:r w:rsidR="00AD3BAB" w:rsidRPr="002937BC">
        <w:rPr>
          <w:rFonts w:eastAsiaTheme="minorHAnsi"/>
        </w:rPr>
        <w:instrText xml:space="preserve"> ADDIN ZOTERO_ITEM CSL_CITATION {"citationID":"ztHIuchp","properties":{"formattedCitation":"\\super 1\\nosupersub{}","plainCitation":"1","noteIndex":0},"citationItems":[{"id":17,"uris":["http://zotero.org/users/13552664/items/5QW4DW7V"],"itemData":{"id":17,"type":"article-journal","abstract":"Recent worldwide efforts to establish solid-state batteries as a potentially safe and stable high-energy and high-rate electrochemical storage technology still face issues with long-term performance, specific power and economic viability. Here, we review key challenges that still involve the need for fast-conducting solid electrolytes to provide sufficient transport in composite cathodes. In addition, we show that high-performance anodes together with protection concepts are paramount to establish dense high-energy solid-state batteries and that lithium-based solid-state batteries as well as metal anodes may not be the ultimate solution. We further discuss that diversity in terms of materials, research teams and approaches is key to establish long-term solid-state batteries. About ten years after the first ground-breaking publication of lithium solid electrolytes with an ionic conductivity higher than that of liquid electrolytes, it is time to realistically address the remaining key challenges for full-scale commercialization, cell performance and implementation.","container-title":"Nature Energy","DOI":"10.1038/s41560-023-01208-9","ISSN":"2058-7546","issue":"3","journalAbbreviation":"Nat Energy","language":"en","license":"2023 Springer Nature Limited","note":"number: 3\nabstractTranslation:  </w:instrText>
      </w:r>
      <w:r w:rsidR="00AD3BAB" w:rsidRPr="002937BC">
        <w:instrText>最近，全球范围内努力将固态电池建立为一种潜在安全稳定的高能</w:instrText>
      </w:r>
      <w:r w:rsidR="00AD3BAB" w:rsidRPr="002937BC">
        <w:rPr>
          <w:rFonts w:eastAsiaTheme="minorHAnsi"/>
        </w:rPr>
        <w:instrText>​​</w:instrText>
      </w:r>
      <w:r w:rsidR="00AD3BAB" w:rsidRPr="002937BC">
        <w:instrText>量和高倍率电化学存储技术，但仍然面临着长期性能、比功率和经济可行性的问题。在这里，我们回顾了仍然涉及快速导电固体电解质以在复合阴极中提供足够传输的需求的关键挑战。此外，我们还表明，高性能阳极和保护概念对于建立高密度高能固态电池至关重要，而锂基固态电池和金属阳极可能不是最终的解决方案。我们进一步讨论，材料、研究团队和方法方面的多样性是建立长期固态电池的关键。在首次突破性地发表离子电导率高于液体电解质的锂固体电解质大约十年后，现在是时候切实解决全面商业化、电池性能和实施方面剩余的关键挑战了。</w:instrText>
      </w:r>
      <w:r w:rsidR="00AD3BAB" w:rsidRPr="002937BC">
        <w:rPr>
          <w:rFonts w:eastAsiaTheme="minorHAnsi"/>
        </w:rPr>
        <w:instrText xml:space="preserve">","page":"230-240","publisher":"Nature Publishing Group","source":"www.nature.com","title":"Challenges in speeding up solid-state battery development","volume":"8","author":[{"family":"Janek","given":"Jürgen"},{"family":"Zeier","given":"Wolfgang G."}],"issued":{"date-parts":[["2023",3]]}}}],"schema":"https://github.com/citation-style-language/schema/raw/master/csl-citation.json"} </w:instrText>
      </w:r>
      <w:r w:rsidR="00AD3BAB" w:rsidRPr="002937BC">
        <w:rPr>
          <w:rFonts w:eastAsiaTheme="minorHAnsi"/>
        </w:rPr>
        <w:fldChar w:fldCharType="separate"/>
      </w:r>
      <w:r w:rsidR="00C50053" w:rsidRPr="00C50053">
        <w:rPr>
          <w:vertAlign w:val="superscript"/>
        </w:rPr>
        <w:t>1</w:t>
      </w:r>
      <w:r w:rsidR="00AD3BAB" w:rsidRPr="002937BC">
        <w:rPr>
          <w:rFonts w:eastAsiaTheme="minorHAnsi"/>
        </w:rPr>
        <w:fldChar w:fldCharType="end"/>
      </w:r>
      <w:r w:rsidRPr="002937BC">
        <w:t xml:space="preserve">, which remain difficult to </w:t>
      </w:r>
      <w:r w:rsidR="003E0712">
        <w:rPr>
          <w:rFonts w:hint="eastAsia"/>
          <w:lang w:eastAsia="zh-CN"/>
        </w:rPr>
        <w:t>probe</w:t>
      </w:r>
      <w:r w:rsidRPr="002937BC">
        <w:t xml:space="preserve"> separately.</w:t>
      </w:r>
      <w:r w:rsidRPr="002937BC">
        <w:rPr>
          <w:lang w:eastAsia="zh-CN"/>
        </w:rPr>
        <w:t xml:space="preserve"> </w:t>
      </w:r>
      <w:r w:rsidRPr="002937BC">
        <w:t xml:space="preserve">To obtain electrode-specific kinetics and degradation information, three-electrode (3E) configurations are </w:t>
      </w:r>
      <w:r w:rsidR="00FA5CFE">
        <w:rPr>
          <w:rFonts w:hint="eastAsia"/>
          <w:lang w:eastAsia="zh-CN"/>
        </w:rPr>
        <w:t>therefore</w:t>
      </w:r>
      <w:r w:rsidR="00737911">
        <w:rPr>
          <w:rFonts w:hint="eastAsia"/>
          <w:lang w:eastAsia="zh-CN"/>
        </w:rPr>
        <w:t xml:space="preserve"> </w:t>
      </w:r>
      <w:r w:rsidRPr="002937BC">
        <w:t xml:space="preserve">essential, as they separate the contributions </w:t>
      </w:r>
      <w:r w:rsidR="002E7D9C">
        <w:rPr>
          <w:rFonts w:hint="eastAsia"/>
          <w:lang w:eastAsia="zh-CN"/>
        </w:rPr>
        <w:t>of</w:t>
      </w:r>
      <w:r w:rsidRPr="002937BC">
        <w:t xml:space="preserve"> the working electrode (WE) and counter electrode (CE)</w:t>
      </w:r>
      <w:r w:rsidR="008C7A7A" w:rsidRPr="002937BC">
        <w:fldChar w:fldCharType="begin"/>
      </w:r>
      <w:r w:rsidR="008C7A7A" w:rsidRPr="002937BC">
        <w:instrText xml:space="preserve"> ADDIN ZOTERO_ITEM CSL_CITATION {"citationID":"lE3ISQjO","properties":{"unsorted":false,"formattedCitation":"\\super 2\\nosupersub{}","plainCitation":"2","noteIndex":0},"citationItems":[{"id":1311,"uris":["http://zotero.org/users/13552664/items/TNG4ZNNF"],"itemData":{"id":1311,"type":"article-journal","abstract":"A Reference Electrode for In Situ Impedance Measurements in Sodium-Ion Batteries, Linsenmann, Fabian, Pritzl, Daniel, Gasteiger, Hubert A.","container-title":"Journal of The Electrochemical Society","DOI":"10.1149/2.0741915jes","ISSN":"1945-7111","issue":"15","journalAbbreviation":"J. Electrochem. Soc.","language":"en","page":"A3668","publisher":"IOP Publishing","source":"iopscience.iop.org","title":"A Reference Electrode for In Situ Impedance Measurements in Sodium-Ion Batteries","volume":"166","author":[{"family":"Linsenmann","given":"Fabian"},{"family":"Pritzl","given":"Daniel"},{"family":"Gasteiger","given":"Hubert A."}],"issued":{"date-parts":[["2019",11,5]]}}}],"schema":"https://github.com/citation-style-language/schema/raw/master/csl-citation.json"} </w:instrText>
      </w:r>
      <w:r w:rsidR="008C7A7A" w:rsidRPr="002937BC">
        <w:fldChar w:fldCharType="separate"/>
      </w:r>
      <w:r w:rsidR="00C50053" w:rsidRPr="00C50053">
        <w:rPr>
          <w:vertAlign w:val="superscript"/>
        </w:rPr>
        <w:t>2</w:t>
      </w:r>
      <w:r w:rsidR="008C7A7A" w:rsidRPr="002937BC">
        <w:fldChar w:fldCharType="end"/>
      </w:r>
      <w:r w:rsidRPr="002937BC">
        <w:t>, allowing their potentials and impedance responses to be evaluated individually</w:t>
      </w:r>
      <w:r w:rsidR="008C7A7A" w:rsidRPr="002937BC">
        <w:fldChar w:fldCharType="begin"/>
      </w:r>
      <w:r w:rsidR="008C7A7A" w:rsidRPr="002937BC">
        <w:instrText xml:space="preserve"> ADDIN ZOTERO_ITEM CSL_CITATION {"citationID":"NcqRUNpP","properties":{"unsorted":false,"formattedCitation":"\\super 3\\nosupersub{}","plainCitation":"3","noteIndex":0},"citationItems":[{"id":30,"uris":["http://zotero.org/users/13552664/items/INW3BNGM"],"itemData":{"id":30,"type":"article-journal","abstract":"Enabling simple three-electrode (3E) setups for solid-state battery cells is important allowing investigation of individual electrodes to shed more light on interface charge transfer and reactions occurring in solid-state battery cells. Two different 3E setups are compared, and their practical value is evaluated. A miniaturized reference electrode (μ-RE) is developed from lithium-plated gold wires with a tungsten core providing a stable potential. Cells with Li6PS5Cl as solid electrolyte, Li1-xNi0.85Co0.10Mn0.05O2 (NCM851005) as cathode active material and Li4Ti5O12/Li7Ti5O12 (LTO) or In/InLi as anode are investigated. The reference electrode provides a stable potential of 0 V vs Li+/Li, hence allowing the precise measurement of single electrode potentials. The setup leaves the usual cell geometry essentially unchanged and causes only minor additional work during cell assembly, allowing widespread application. Evidence is provided that 3E setups are needed to evaluate the rate capability of active materials correctly and that two-electrode (2E) setups can massively underestimate the rate capability of electrodes. The impedance of full cells is systematically analyzed based on separate anode and cathode impedances. A miniaturized reference electrode for solid-state batteries (SSB) is presented. Reference electrodes are needed to evaluate the rate capability of active materials Separated electrode impedances are measured simplifying impedance analysis. High current rate tests show significant influence from the anode.","container-title":"Journal of The Electrochemical Society","DOI":"10.1149/1945-7111/accb6f","ISSN":"1945-7111","issue":"4","journalAbbreviation":"J. Electrochem. Soc.","language":"en","note":"rate: 0","page":"040519","publisher":"IOP Publishing","source":"Institute of Physics","title":"Miniaturization of Reference Electrodes for Solid-State Lithium-Ion Batteries","volume":"170","author":[{"family":"Hertle","given":"Jonas"},{"family":"Walther","given":"Felix"},{"family":"Mogwitz","given":"Boris"},{"family":"Schröder","given":"Steffen"},{"family":"Wu","given":"Xiaohan"},{"family":"Richter","given":"Felix H."},{"family":"Janek","given":"Jürgen"}],"issued":{"date-parts":[["2023",4]]}}}],"schema":"https://github.com/citation-style-language/schema/raw/master/csl-citation.json"} </w:instrText>
      </w:r>
      <w:r w:rsidR="008C7A7A" w:rsidRPr="002937BC">
        <w:fldChar w:fldCharType="separate"/>
      </w:r>
      <w:r w:rsidR="00C50053" w:rsidRPr="00C50053">
        <w:rPr>
          <w:vertAlign w:val="superscript"/>
        </w:rPr>
        <w:t>3</w:t>
      </w:r>
      <w:r w:rsidR="008C7A7A" w:rsidRPr="002937BC">
        <w:fldChar w:fldCharType="end"/>
      </w:r>
      <w:r w:rsidRPr="002937BC">
        <w:t>. The reliability of such measurement</w:t>
      </w:r>
      <w:r w:rsidR="009A3B63">
        <w:rPr>
          <w:rFonts w:hint="eastAsia"/>
          <w:lang w:eastAsia="zh-CN"/>
        </w:rPr>
        <w:t>s</w:t>
      </w:r>
      <w:r w:rsidRPr="002937BC">
        <w:t>, however, depends critically on the performance of the reference electrode (RE)</w:t>
      </w:r>
      <w:r w:rsidR="008C7A7A" w:rsidRPr="002937BC">
        <w:fldChar w:fldCharType="begin"/>
      </w:r>
      <w:r w:rsidR="008C7A7A" w:rsidRPr="002937BC">
        <w:instrText xml:space="preserve"> ADDIN ZOTERO_ITEM CSL_CITATION {"citationID":"6KcXpHX1","properties":{"unsorted":false,"formattedCitation":"\\super 4\\nosupersub{}","plainCitation":"4","noteIndex":0},"citationItems":[{"id":1306,"uris":["http://zotero.org/users/13552664/items/JQPRU9IL"],"itemData":{"id":1306,"type":"article-journal","abstract":"Two-electrode (2E) setups commonly employed in solid-state batteries (SSBs) are often not sufficient to deconvolute electrochemical processes of anode/cathode. To address this issue, herein we introduce a threeelectrode (3E) cell setup, making use of an electrochemically prelithiated lithium titanate composite as refer­ ence electrode (LTO-RE). The potential/state of charge/kinetics relationship of LTO was revisited by conducting both ex situ and in situ electrochemical impedance spectroscopy measurements and corresponding distribution of relaxation times (DRT) analyses. The proposed LTO-RE maintains a stable reference potential of about 1.57 V vs. Li+/Li with minimal drift (by 8 mV over 600 h) and negligible growth in charge-transfer resistance, enabling long-term use in 3E SSB cells. Time constants representing the involved kinetic processes are often quite close and obscure reliable assessment of contributions from different electrodes. By implementing the 3E approach, the overlap of kinetic processes between LTO working electrode and In/InLi counter electrode across a broad range of timescales can be effectively separated and identified. The proposed 3E setup offers a viable approach for thoroughly studying the interfacial kinetics of individual electrodes, thereby enhancing understanding of the underlying degradation processes in SSBs and ensuring stable long-term testing.","container-title":"Energy Storage Materials","DOI":"10.1016/j.ensm.2025.104000","ISSN":"24058297","journalAbbreviation":"Energy Storage Materials","language":"en","note":"rate: 2","page":"104000","source":"DOI.org (Crossref)","title":"Timescale identification of electrochemical processes in all-solid-state batteries using an advanced three-electrode cell setup","volume":"75","author":[{"family":"Zhang","given":"Ruizhuo"},{"family":"Kondrakov","given":"Aleksandr"},{"family":"Janek","given":"Jürgen"},{"family":"Brezesinski","given":"Torsten"}],"issued":{"date-parts":[["2025",2]]}}}],"schema":"https://github.com/citation-style-language/schema/raw/master/csl-citation.json"} </w:instrText>
      </w:r>
      <w:r w:rsidR="008C7A7A" w:rsidRPr="002937BC">
        <w:fldChar w:fldCharType="separate"/>
      </w:r>
      <w:r w:rsidR="00C50053" w:rsidRPr="00C50053">
        <w:rPr>
          <w:vertAlign w:val="superscript"/>
        </w:rPr>
        <w:t>4</w:t>
      </w:r>
      <w:r w:rsidR="008C7A7A" w:rsidRPr="002937BC">
        <w:fldChar w:fldCharType="end"/>
      </w:r>
      <w:r w:rsidRPr="002937BC">
        <w:t xml:space="preserve">. </w:t>
      </w:r>
      <w:r w:rsidR="004D271A" w:rsidRPr="002937BC">
        <w:t xml:space="preserve">Existing studies primarily evaluate RE performance through potential stability, while implicitly assuming that the inserted RE behaves as a passive probe that does not significantly perturb the electrochemical system. Whether these criteria </w:t>
      </w:r>
      <w:r w:rsidR="00B4621C">
        <w:rPr>
          <w:rFonts w:hint="eastAsia"/>
          <w:lang w:eastAsia="zh-CN"/>
        </w:rPr>
        <w:t xml:space="preserve">alone </w:t>
      </w:r>
      <w:r w:rsidR="004D271A" w:rsidRPr="002937BC">
        <w:t>are sufficient to ensure reliable electrode-resolved measurements remains largely unexplored.</w:t>
      </w:r>
    </w:p>
    <w:p w14:paraId="4EEC6450" w14:textId="77777777" w:rsidR="008B2B50" w:rsidRPr="002937BC" w:rsidRDefault="008B2B50" w:rsidP="00E0716D">
      <w:pPr>
        <w:jc w:val="both"/>
      </w:pPr>
    </w:p>
    <w:p w14:paraId="7222C400" w14:textId="639C532D" w:rsidR="00AD3BAB" w:rsidRDefault="004D271A" w:rsidP="008B2B50">
      <w:pPr>
        <w:jc w:val="both"/>
        <w:rPr>
          <w:lang w:eastAsia="zh-CN"/>
        </w:rPr>
      </w:pPr>
      <w:r w:rsidRPr="002937BC">
        <w:t xml:space="preserve">To facilitate robust RE application in SSB, a validation framework is required. </w:t>
      </w:r>
      <w:r w:rsidRPr="002937BC">
        <w:rPr>
          <w:lang w:eastAsia="zh-CN"/>
        </w:rPr>
        <w:t xml:space="preserve">Here, </w:t>
      </w:r>
      <w:r w:rsidR="00847F7F">
        <w:rPr>
          <w:rFonts w:hint="eastAsia"/>
          <w:lang w:eastAsia="zh-CN"/>
        </w:rPr>
        <w:t xml:space="preserve">we </w:t>
      </w:r>
      <w:r w:rsidR="00847F7F">
        <w:rPr>
          <w:lang w:eastAsia="zh-CN"/>
        </w:rPr>
        <w:t>systematically</w:t>
      </w:r>
      <w:r w:rsidR="00847F7F">
        <w:rPr>
          <w:rFonts w:hint="eastAsia"/>
          <w:lang w:eastAsia="zh-CN"/>
        </w:rPr>
        <w:t xml:space="preserve"> investigated the </w:t>
      </w:r>
      <w:r w:rsidRPr="002937BC">
        <w:rPr>
          <w:lang w:eastAsia="zh-CN"/>
        </w:rPr>
        <w:t>alloy-based REs</w:t>
      </w:r>
      <w:r w:rsidR="00B87338">
        <w:rPr>
          <w:rFonts w:hint="eastAsia"/>
          <w:lang w:eastAsia="zh-CN"/>
        </w:rPr>
        <w:t xml:space="preserve"> (Li-In and Li-Au)</w:t>
      </w:r>
      <w:r w:rsidRPr="002937BC">
        <w:rPr>
          <w:lang w:eastAsia="zh-CN"/>
        </w:rPr>
        <w:t xml:space="preserve"> with different geometries and compositions in sulfide-based SSB. Asymmetric 3E configurations were employed to independently validate </w:t>
      </w:r>
      <w:r w:rsidR="007D30C4">
        <w:rPr>
          <w:rFonts w:hint="eastAsia"/>
          <w:lang w:eastAsia="zh-CN"/>
        </w:rPr>
        <w:t xml:space="preserve">the </w:t>
      </w:r>
      <w:r w:rsidRPr="002937BC">
        <w:rPr>
          <w:lang w:eastAsia="zh-CN"/>
        </w:rPr>
        <w:t>separated half-cell responses, while long-term cycling combined with periodic impedance measurements was used to assess the evolution of RE reliability over time.</w:t>
      </w:r>
    </w:p>
    <w:p w14:paraId="4BF7982E" w14:textId="77777777" w:rsidR="00E80C05" w:rsidRDefault="00E80C05" w:rsidP="008B2B50">
      <w:pPr>
        <w:jc w:val="both"/>
        <w:rPr>
          <w:lang w:eastAsia="zh-CN"/>
        </w:rPr>
      </w:pPr>
    </w:p>
    <w:p w14:paraId="48475193" w14:textId="6AFAFF3D" w:rsidR="004D271A" w:rsidRDefault="00644FCE" w:rsidP="00E0716D">
      <w:pPr>
        <w:jc w:val="both"/>
        <w:rPr>
          <w:lang w:eastAsia="zh-CN"/>
        </w:rPr>
      </w:pPr>
      <w:r w:rsidRPr="00644FCE">
        <w:rPr>
          <w:lang w:eastAsia="zh-CN"/>
        </w:rPr>
        <w:t xml:space="preserve">Our results reveal that potential stability and impedance fidelity represent distinct criteria for evaluating RE reliability. Stable RE potentials do not necessarily guarantee reliable electrode-resolved impedance measurements, highlighting that these two aspects of measurement performance can diverge during cell cycling. </w:t>
      </w:r>
      <w:r w:rsidR="000A6E6F" w:rsidRPr="000A6E6F">
        <w:rPr>
          <w:lang w:eastAsia="zh-CN"/>
        </w:rPr>
        <w:t>While RE operational lifetime depends on both alloy chemistry and geometry, impedance fidelity is influenced by RE configuration and its evolution during cycling.</w:t>
      </w:r>
      <w:r w:rsidRPr="00644FCE">
        <w:rPr>
          <w:lang w:eastAsia="zh-CN"/>
        </w:rPr>
        <w:t xml:space="preserve"> Importantly, we demonstrate that the commonly used additive impedance validation criterion </w:t>
      </w:r>
      <w:r w:rsidR="00E80C05" w:rsidRPr="002937BC">
        <w:rPr>
          <w:lang w:eastAsia="zh-CN"/>
        </w:rPr>
        <w:t>(</w:t>
      </w:r>
      <m:oMath>
        <m:sSub>
          <m:sSubPr>
            <m:ctrlPr>
              <w:rPr>
                <w:rFonts w:ascii="Cambria Math" w:eastAsiaTheme="minorHAnsi" w:hAnsi="Cambria Math"/>
                <w:i/>
                <w:sz w:val="22"/>
                <w:vertAlign w:val="subscript"/>
              </w:rPr>
            </m:ctrlPr>
          </m:sSubPr>
          <m:e>
            <m:sSub>
              <m:sSubPr>
                <m:ctrlPr>
                  <w:rPr>
                    <w:rFonts w:ascii="Cambria Math" w:eastAsiaTheme="minorHAnsi" w:hAnsi="Cambria Math"/>
                    <w:i/>
                    <w:sz w:val="22"/>
                    <w:vertAlign w:val="subscript"/>
                  </w:rPr>
                </m:ctrlPr>
              </m:sSubPr>
              <m:e>
                <m:r>
                  <w:rPr>
                    <w:rFonts w:ascii="Cambria Math" w:eastAsiaTheme="minorHAnsi" w:hAnsi="Cambria Math"/>
                    <w:sz w:val="22"/>
                    <w:vertAlign w:val="subscript"/>
                  </w:rPr>
                  <m:t>Z</m:t>
                </m:r>
              </m:e>
              <m:sub>
                <m:r>
                  <w:rPr>
                    <w:rFonts w:ascii="Cambria Math" w:eastAsiaTheme="minorHAnsi" w:hAnsi="Cambria Math"/>
                    <w:sz w:val="22"/>
                    <w:vertAlign w:val="subscript"/>
                  </w:rPr>
                  <m:t>WE-CE</m:t>
                </m:r>
              </m:sub>
            </m:sSub>
            <m:r>
              <w:rPr>
                <w:rFonts w:ascii="Cambria Math" w:eastAsiaTheme="minorHAnsi" w:hAnsi="Cambria Math"/>
                <w:sz w:val="22"/>
                <w:vertAlign w:val="subscript"/>
              </w:rPr>
              <m:t>=Z</m:t>
            </m:r>
          </m:e>
          <m:sub>
            <m:r>
              <w:rPr>
                <w:rFonts w:ascii="Cambria Math" w:eastAsiaTheme="minorHAnsi" w:hAnsi="Cambria Math"/>
                <w:sz w:val="22"/>
                <w:vertAlign w:val="subscript"/>
              </w:rPr>
              <m:t>WE-RE</m:t>
            </m:r>
          </m:sub>
        </m:sSub>
        <m:r>
          <w:rPr>
            <w:rFonts w:ascii="Cambria Math" w:eastAsiaTheme="minorHAnsi" w:hAnsi="Cambria Math"/>
            <w:sz w:val="22"/>
          </w:rPr>
          <m:t xml:space="preserve"> + </m:t>
        </m:r>
        <m:sSub>
          <m:sSubPr>
            <m:ctrlPr>
              <w:rPr>
                <w:rFonts w:ascii="Cambria Math" w:eastAsiaTheme="minorHAnsi" w:hAnsi="Cambria Math"/>
                <w:i/>
                <w:sz w:val="22"/>
                <w:vertAlign w:val="subscript"/>
              </w:rPr>
            </m:ctrlPr>
          </m:sSubPr>
          <m:e>
            <m:r>
              <w:rPr>
                <w:rFonts w:ascii="Cambria Math" w:eastAsiaTheme="minorHAnsi" w:hAnsi="Cambria Math"/>
                <w:sz w:val="22"/>
                <w:vertAlign w:val="subscript"/>
              </w:rPr>
              <m:t>Z</m:t>
            </m:r>
          </m:e>
          <m:sub>
            <m:r>
              <w:rPr>
                <w:rFonts w:ascii="Cambria Math" w:eastAsiaTheme="minorHAnsi" w:hAnsi="Cambria Math"/>
                <w:sz w:val="22"/>
                <w:vertAlign w:val="subscript"/>
              </w:rPr>
              <m:t>CE-RE</m:t>
            </m:r>
          </m:sub>
        </m:sSub>
      </m:oMath>
      <w:r w:rsidR="00E80C05" w:rsidRPr="002937BC">
        <w:rPr>
          <w:lang w:eastAsia="zh-CN"/>
        </w:rPr>
        <w:t>)</w:t>
      </w:r>
      <w:r w:rsidR="00847F7F">
        <w:rPr>
          <w:lang w:eastAsia="zh-CN"/>
        </w:rPr>
        <w:fldChar w:fldCharType="begin"/>
      </w:r>
      <w:r w:rsidR="00847F7F">
        <w:rPr>
          <w:lang w:eastAsia="zh-CN"/>
        </w:rPr>
        <w:instrText xml:space="preserve"> ADDIN ZOTERO_ITEM CSL_CITATION {"citationID":"Vn98mFFD","properties":{"unsorted":false,"formattedCitation":"\\super 5\\nosupersub{}","plainCitation":"5","noteIndex":0},"citationItems":[{"id":1538,"uris":["http://zotero.org/users/13552664/items/B7SYKC3U"],"itemData":{"id":1538,"type":"article-journal","abstract":"The establishment of three-electrode cells for all-solid-state lithium-ion batteries is an important issue to clarify the electrochemical behavior of the battery components and solve problems for the practical applications. Here we prepared an all-solid-state three-electrode cell with a chemically-reduced Li4Ti5O12 reference electrode and investigated electrochemical properties of a LiCoO2 composite electrode in a Li-In|Li10GeP2S12|LiCoO2 cell. Plateau potentials in charge-discharge curves were coincident with reported values. Cell impedance measured with two-electrode configuration agreed well with the sum of the impedances of the positive and the negative electrodes measured with the reference electrode. These results show that chemically-reduced Li4Ti5O12 reference electrode was worked as a Li7Ti5O12|Li4Ti5O12 reference electrode and electrochemical properties of the LiCoO2 electrode and the Li-In electrode were separated. From the temperature and the state of charge dependences of LiCoO2 impedance, resistances related to interface or interphase and charge-transfer reaction were identified. These results show that all-solid-state cells with chemically-reduced Li4Ti5O12 reference electrodes are promising candidates for three-electrode cells for all-solid-state lithium-ion battery systems.","container-title":"Electrochemistry Communications","DOI":"10.1016/j.elecom.2020.106743","ISSN":"1388-2481","journalAbbreviation":"Electrochemistry Communications","page":"106743","source":"ScienceDirect","title":"Performance of Li4Ti5O12-based reference electrode for the electrochemical analysis of all-solid-state lithium-ion batteries","volume":"116","author":[{"family":"Ikezawa","given":"Atsunori"},{"family":"Fukunishi","given":"Goro"},{"family":"Okajima","given":"Takeyoshi"},{"family":"Kitamura","given":"Fusao"},{"family":"Suzuki","given":"Kota"},{"family":"Hirayama","given":"Masaaki"},{"family":"Kanno","given":"Ryoji"},{"family":"Arai","given":"Hajime"}],"issued":{"date-parts":[["2020",7,1]]}}}],"schema":"https://github.com/citation-style-language/schema/raw/master/csl-citation.json"} </w:instrText>
      </w:r>
      <w:r w:rsidR="00847F7F">
        <w:rPr>
          <w:lang w:eastAsia="zh-CN"/>
        </w:rPr>
        <w:fldChar w:fldCharType="separate"/>
      </w:r>
      <w:r w:rsidR="00C50053" w:rsidRPr="00C50053">
        <w:rPr>
          <w:vertAlign w:val="superscript"/>
        </w:rPr>
        <w:t>5</w:t>
      </w:r>
      <w:r w:rsidR="00847F7F">
        <w:rPr>
          <w:lang w:eastAsia="zh-CN"/>
        </w:rPr>
        <w:fldChar w:fldCharType="end"/>
      </w:r>
      <w:r w:rsidR="00E80C05" w:rsidRPr="00E80C05">
        <w:rPr>
          <w:lang w:eastAsia="zh-CN"/>
        </w:rPr>
        <w:t xml:space="preserve"> </w:t>
      </w:r>
      <w:r w:rsidRPr="00644FCE">
        <w:rPr>
          <w:lang w:eastAsia="zh-CN"/>
        </w:rPr>
        <w:t>is insufficient to verify impedance fidelity. Agreement between measured and reconstructed impedance spectra demonstrates internal signal consistency, but does not necessarily guarantee reliable electrode separation. Alternative approaches for impedance validation are therefore required.</w:t>
      </w:r>
    </w:p>
    <w:p w14:paraId="7192F2D0" w14:textId="77777777" w:rsidR="00264816" w:rsidRPr="002937BC" w:rsidRDefault="00264816" w:rsidP="00E0716D">
      <w:pPr>
        <w:jc w:val="both"/>
        <w:rPr>
          <w:lang w:eastAsia="zh-CN"/>
        </w:rPr>
      </w:pPr>
    </w:p>
    <w:p w14:paraId="6D4FA494" w14:textId="419DDD9C" w:rsidR="007D03C6" w:rsidRPr="002937BC" w:rsidRDefault="00AB1F61" w:rsidP="00E0716D">
      <w:pPr>
        <w:jc w:val="both"/>
        <w:rPr>
          <w:lang w:eastAsia="zh-CN"/>
        </w:rPr>
      </w:pPr>
      <w:r w:rsidRPr="00AB1F61">
        <w:rPr>
          <w:lang w:eastAsia="zh-CN"/>
        </w:rPr>
        <w:t>These findings suggest that no universally ideal RE exists</w:t>
      </w:r>
      <w:r>
        <w:rPr>
          <w:rFonts w:hint="eastAsia"/>
          <w:lang w:eastAsia="zh-CN"/>
        </w:rPr>
        <w:t>,</w:t>
      </w:r>
      <w:r w:rsidRPr="00AB1F61">
        <w:rPr>
          <w:lang w:eastAsia="zh-CN"/>
        </w:rPr>
        <w:t xml:space="preserve"> rather, RE suitability depends on the specific measurement objective.</w:t>
      </w:r>
      <w:r w:rsidR="004D271A" w:rsidRPr="002937BC">
        <w:rPr>
          <w:lang w:eastAsia="zh-CN"/>
        </w:rPr>
        <w:t xml:space="preserve"> This work highlights the importance of time-resolved and application-oriented validation strategies and provides practical considerations for the design and validation of three-electrode measurements in complex and dynamically evolving battery systems.</w:t>
      </w:r>
    </w:p>
    <w:p w14:paraId="735868AD" w14:textId="77777777" w:rsidR="004D271A" w:rsidRPr="002937BC" w:rsidRDefault="004D271A" w:rsidP="00E0716D">
      <w:pPr>
        <w:jc w:val="both"/>
        <w:rPr>
          <w:lang w:eastAsia="zh-CN"/>
        </w:rPr>
      </w:pPr>
    </w:p>
    <w:p w14:paraId="4E9DA44B" w14:textId="5C0D75AF" w:rsidR="000B23AB" w:rsidRPr="002937BC" w:rsidRDefault="000B23AB" w:rsidP="00E0716D">
      <w:pPr>
        <w:jc w:val="both"/>
        <w:rPr>
          <w:b/>
          <w:bCs/>
          <w:lang w:eastAsia="zh-CN"/>
        </w:rPr>
      </w:pPr>
      <w:r w:rsidRPr="002937BC">
        <w:rPr>
          <w:b/>
          <w:bCs/>
          <w:lang w:eastAsia="zh-CN"/>
        </w:rPr>
        <w:t>References:</w:t>
      </w:r>
    </w:p>
    <w:p w14:paraId="65E456CC" w14:textId="77777777" w:rsidR="00C50053" w:rsidRPr="00C50053" w:rsidRDefault="00AD3BAB" w:rsidP="00C50053">
      <w:pPr>
        <w:pStyle w:val="a3"/>
      </w:pPr>
      <w:r w:rsidRPr="002937BC">
        <w:fldChar w:fldCharType="begin"/>
      </w:r>
      <w:r w:rsidR="00C50053">
        <w:instrText xml:space="preserve"> ADDIN ZOTERO_BIBL {"uncited":[],"omitted":[],"custom":[]} CSL_BIBLIOGRAPHY </w:instrText>
      </w:r>
      <w:r w:rsidRPr="002937BC">
        <w:fldChar w:fldCharType="separate"/>
      </w:r>
      <w:r w:rsidR="00C50053" w:rsidRPr="00C50053">
        <w:t>(1)</w:t>
      </w:r>
      <w:r w:rsidR="00C50053" w:rsidRPr="00C50053">
        <w:tab/>
        <w:t xml:space="preserve">Janek, J.; Zeier, W. G. Challenges in Speeding up Solid-State Battery Development. </w:t>
      </w:r>
      <w:r w:rsidR="00C50053" w:rsidRPr="00C50053">
        <w:rPr>
          <w:i/>
          <w:iCs/>
        </w:rPr>
        <w:t>Nat Energy</w:t>
      </w:r>
      <w:r w:rsidR="00C50053" w:rsidRPr="00C50053">
        <w:t xml:space="preserve"> </w:t>
      </w:r>
      <w:r w:rsidR="00C50053" w:rsidRPr="00C50053">
        <w:rPr>
          <w:b/>
          <w:bCs/>
        </w:rPr>
        <w:t>2023</w:t>
      </w:r>
      <w:r w:rsidR="00C50053" w:rsidRPr="00C50053">
        <w:t xml:space="preserve">, </w:t>
      </w:r>
      <w:r w:rsidR="00C50053" w:rsidRPr="00C50053">
        <w:rPr>
          <w:i/>
          <w:iCs/>
        </w:rPr>
        <w:t>8</w:t>
      </w:r>
      <w:r w:rsidR="00C50053" w:rsidRPr="00C50053">
        <w:t xml:space="preserve"> (3), 230–240. https://doi.org/10.1038/s41560-023-01208-9.</w:t>
      </w:r>
    </w:p>
    <w:p w14:paraId="03E2C646" w14:textId="77777777" w:rsidR="00C50053" w:rsidRPr="00C50053" w:rsidRDefault="00C50053" w:rsidP="00C50053">
      <w:pPr>
        <w:pStyle w:val="a3"/>
      </w:pPr>
      <w:r w:rsidRPr="00C50053">
        <w:t>(2)</w:t>
      </w:r>
      <w:r w:rsidRPr="00C50053">
        <w:tab/>
        <w:t xml:space="preserve">Linsenmann, F.; Pritzl, D.; Gasteiger, H. A. A Reference Electrode for In Situ Impedance Measurements in Sodium-Ion Batteries. </w:t>
      </w:r>
      <w:r w:rsidRPr="00C50053">
        <w:rPr>
          <w:i/>
          <w:iCs/>
        </w:rPr>
        <w:t>J. Electrochem. Soc.</w:t>
      </w:r>
      <w:r w:rsidRPr="00C50053">
        <w:t xml:space="preserve"> </w:t>
      </w:r>
      <w:r w:rsidRPr="00C50053">
        <w:rPr>
          <w:b/>
          <w:bCs/>
        </w:rPr>
        <w:t>2019</w:t>
      </w:r>
      <w:r w:rsidRPr="00C50053">
        <w:t xml:space="preserve">, </w:t>
      </w:r>
      <w:r w:rsidRPr="00C50053">
        <w:rPr>
          <w:i/>
          <w:iCs/>
        </w:rPr>
        <w:t>166</w:t>
      </w:r>
      <w:r w:rsidRPr="00C50053">
        <w:t xml:space="preserve"> (15), A3668. https://doi.org/10.1149/2.0741915jes.</w:t>
      </w:r>
    </w:p>
    <w:p w14:paraId="2DDD3011" w14:textId="77777777" w:rsidR="00C50053" w:rsidRPr="00C50053" w:rsidRDefault="00C50053" w:rsidP="00C50053">
      <w:pPr>
        <w:pStyle w:val="a3"/>
      </w:pPr>
      <w:r w:rsidRPr="00C50053">
        <w:t>(3)</w:t>
      </w:r>
      <w:r w:rsidRPr="00C50053">
        <w:tab/>
        <w:t xml:space="preserve">Hertle, J.; Walther, F.; Mogwitz, B.; Schröder, S.; Wu, X.; Richter, F. H.; Janek, J. Miniaturization of Reference Electrodes for Solid-State Lithium-Ion Batteries. </w:t>
      </w:r>
      <w:r w:rsidRPr="00C50053">
        <w:rPr>
          <w:i/>
          <w:iCs/>
        </w:rPr>
        <w:t>J. Electrochem. Soc.</w:t>
      </w:r>
      <w:r w:rsidRPr="00C50053">
        <w:t xml:space="preserve"> </w:t>
      </w:r>
      <w:r w:rsidRPr="00C50053">
        <w:rPr>
          <w:b/>
          <w:bCs/>
        </w:rPr>
        <w:t>2023</w:t>
      </w:r>
      <w:r w:rsidRPr="00C50053">
        <w:t xml:space="preserve">, </w:t>
      </w:r>
      <w:r w:rsidRPr="00C50053">
        <w:rPr>
          <w:i/>
          <w:iCs/>
        </w:rPr>
        <w:t>170</w:t>
      </w:r>
      <w:r w:rsidRPr="00C50053">
        <w:t xml:space="preserve"> (4), 040519. https://doi.org/10.1149/1945-7111/accb6f.</w:t>
      </w:r>
    </w:p>
    <w:p w14:paraId="1989BE57" w14:textId="77777777" w:rsidR="00C50053" w:rsidRPr="00C50053" w:rsidRDefault="00C50053" w:rsidP="00C50053">
      <w:pPr>
        <w:pStyle w:val="a3"/>
      </w:pPr>
      <w:r w:rsidRPr="00C50053">
        <w:t>(4)</w:t>
      </w:r>
      <w:r w:rsidRPr="00C50053">
        <w:tab/>
        <w:t xml:space="preserve">Zhang, R.; Kondrakov, A.; Janek, J.; Brezesinski, T. Timescale Identification of Electrochemical Processes in All-Solid-State Batteries Using an Advanced Three-Electrode Cell Setup. </w:t>
      </w:r>
      <w:r w:rsidRPr="00C50053">
        <w:rPr>
          <w:i/>
          <w:iCs/>
        </w:rPr>
        <w:t>Energy Storage Materials</w:t>
      </w:r>
      <w:r w:rsidRPr="00C50053">
        <w:t xml:space="preserve"> </w:t>
      </w:r>
      <w:r w:rsidRPr="00C50053">
        <w:rPr>
          <w:b/>
          <w:bCs/>
        </w:rPr>
        <w:t>2025</w:t>
      </w:r>
      <w:r w:rsidRPr="00C50053">
        <w:t xml:space="preserve">, </w:t>
      </w:r>
      <w:r w:rsidRPr="00C50053">
        <w:rPr>
          <w:i/>
          <w:iCs/>
        </w:rPr>
        <w:t>75</w:t>
      </w:r>
      <w:r w:rsidRPr="00C50053">
        <w:t>, 104000. https://doi.org/10.1016/j.ensm.2025.104000.</w:t>
      </w:r>
    </w:p>
    <w:p w14:paraId="5457D1FE" w14:textId="77777777" w:rsidR="00C50053" w:rsidRPr="00C50053" w:rsidRDefault="00C50053" w:rsidP="00C50053">
      <w:pPr>
        <w:pStyle w:val="a3"/>
      </w:pPr>
      <w:r w:rsidRPr="00C50053">
        <w:t>(5)</w:t>
      </w:r>
      <w:r w:rsidRPr="00C50053">
        <w:tab/>
        <w:t xml:space="preserve">Ikezawa, A.; Fukunishi, G.; Okajima, T.; Kitamura, F.; Suzuki, K.; Hirayama, M.; Kanno, R.; Arai, H. Performance of Li4Ti5O12-Based Reference Electrode for the Electrochemical Analysis of All-Solid-State Lithium-Ion Batteries. </w:t>
      </w:r>
      <w:r w:rsidRPr="00C50053">
        <w:rPr>
          <w:i/>
          <w:iCs/>
        </w:rPr>
        <w:t>Electrochemistry Communications</w:t>
      </w:r>
      <w:r w:rsidRPr="00C50053">
        <w:t xml:space="preserve"> </w:t>
      </w:r>
      <w:r w:rsidRPr="00C50053">
        <w:rPr>
          <w:b/>
          <w:bCs/>
        </w:rPr>
        <w:t>2020</w:t>
      </w:r>
      <w:r w:rsidRPr="00C50053">
        <w:t xml:space="preserve">, </w:t>
      </w:r>
      <w:r w:rsidRPr="00C50053">
        <w:rPr>
          <w:i/>
          <w:iCs/>
        </w:rPr>
        <w:t>116</w:t>
      </w:r>
      <w:r w:rsidRPr="00C50053">
        <w:t>, 106743. https://doi.org/10.1016/j.elecom.2020.106743.</w:t>
      </w:r>
    </w:p>
    <w:p w14:paraId="61E5F75F" w14:textId="082A899C" w:rsidR="00E0716D" w:rsidRDefault="00AD3BAB" w:rsidP="00847F7F">
      <w:pPr>
        <w:jc w:val="both"/>
        <w:rPr>
          <w:lang w:eastAsia="zh-CN"/>
        </w:rPr>
      </w:pPr>
      <w:r w:rsidRPr="002937BC">
        <w:fldChar w:fldCharType="end"/>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ACE89" w14:textId="77777777" w:rsidR="00D81E3B" w:rsidRDefault="00D81E3B" w:rsidP="00844A12">
      <w:r>
        <w:separator/>
      </w:r>
    </w:p>
  </w:endnote>
  <w:endnote w:type="continuationSeparator" w:id="0">
    <w:p w14:paraId="2547A26D" w14:textId="77777777" w:rsidR="00D81E3B" w:rsidRDefault="00D81E3B" w:rsidP="00844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E5272" w14:textId="77777777" w:rsidR="00D81E3B" w:rsidRDefault="00D81E3B" w:rsidP="00844A12">
      <w:r>
        <w:separator/>
      </w:r>
    </w:p>
  </w:footnote>
  <w:footnote w:type="continuationSeparator" w:id="0">
    <w:p w14:paraId="211A692F" w14:textId="77777777" w:rsidR="00D81E3B" w:rsidRDefault="00D81E3B" w:rsidP="00844A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25F37"/>
    <w:rsid w:val="00041EFD"/>
    <w:rsid w:val="000A6E6F"/>
    <w:rsid w:val="000B23AB"/>
    <w:rsid w:val="000B4BDF"/>
    <w:rsid w:val="001007B2"/>
    <w:rsid w:val="00141AD1"/>
    <w:rsid w:val="00177139"/>
    <w:rsid w:val="001E387A"/>
    <w:rsid w:val="001F28CC"/>
    <w:rsid w:val="00212654"/>
    <w:rsid w:val="00264816"/>
    <w:rsid w:val="002937BC"/>
    <w:rsid w:val="002E7D9C"/>
    <w:rsid w:val="00325004"/>
    <w:rsid w:val="00386C84"/>
    <w:rsid w:val="003E0712"/>
    <w:rsid w:val="003F5D2B"/>
    <w:rsid w:val="004D271A"/>
    <w:rsid w:val="004E37C4"/>
    <w:rsid w:val="004F43CD"/>
    <w:rsid w:val="00517202"/>
    <w:rsid w:val="00536366"/>
    <w:rsid w:val="005D1E22"/>
    <w:rsid w:val="00644FCE"/>
    <w:rsid w:val="00662000"/>
    <w:rsid w:val="00685C1A"/>
    <w:rsid w:val="006C1CCE"/>
    <w:rsid w:val="00737911"/>
    <w:rsid w:val="0074375F"/>
    <w:rsid w:val="007607B8"/>
    <w:rsid w:val="007D03C6"/>
    <w:rsid w:val="007D30C4"/>
    <w:rsid w:val="00844A12"/>
    <w:rsid w:val="00847F7F"/>
    <w:rsid w:val="00883B9C"/>
    <w:rsid w:val="008B2B50"/>
    <w:rsid w:val="008C7A7A"/>
    <w:rsid w:val="008F37BF"/>
    <w:rsid w:val="00986604"/>
    <w:rsid w:val="009A3B63"/>
    <w:rsid w:val="00AB1F61"/>
    <w:rsid w:val="00AC60AA"/>
    <w:rsid w:val="00AD2D7C"/>
    <w:rsid w:val="00AD3BAB"/>
    <w:rsid w:val="00B32FA8"/>
    <w:rsid w:val="00B413B6"/>
    <w:rsid w:val="00B4621C"/>
    <w:rsid w:val="00B87338"/>
    <w:rsid w:val="00C50053"/>
    <w:rsid w:val="00D661AF"/>
    <w:rsid w:val="00D81E3B"/>
    <w:rsid w:val="00DD2C37"/>
    <w:rsid w:val="00E00E75"/>
    <w:rsid w:val="00E0716D"/>
    <w:rsid w:val="00E1625A"/>
    <w:rsid w:val="00E37CA8"/>
    <w:rsid w:val="00E428CE"/>
    <w:rsid w:val="00E80C05"/>
    <w:rsid w:val="00F8759D"/>
    <w:rsid w:val="00F97641"/>
    <w:rsid w:val="00FA5CFE"/>
    <w:rsid w:val="00FE5965"/>
    <w:rsid w:val="00FE76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D200E1"/>
  <w14:defaultImageDpi w14:val="300"/>
  <w15:docId w15:val="{31976C08-2E3B-4A96-8F2C-E43D5554D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16D"/>
    <w:pPr>
      <w:widowControl w:val="0"/>
    </w:pPr>
    <w:rPr>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ibliography"/>
    <w:basedOn w:val="a"/>
    <w:next w:val="a"/>
    <w:uiPriority w:val="37"/>
    <w:unhideWhenUsed/>
    <w:rsid w:val="00AD3BAB"/>
    <w:pPr>
      <w:tabs>
        <w:tab w:val="left" w:pos="384"/>
      </w:tabs>
      <w:ind w:left="384" w:hanging="384"/>
    </w:pPr>
  </w:style>
  <w:style w:type="paragraph" w:styleId="a4">
    <w:name w:val="header"/>
    <w:basedOn w:val="a"/>
    <w:link w:val="a5"/>
    <w:uiPriority w:val="99"/>
    <w:unhideWhenUsed/>
    <w:rsid w:val="00844A12"/>
    <w:pPr>
      <w:tabs>
        <w:tab w:val="center" w:pos="4153"/>
        <w:tab w:val="right" w:pos="8306"/>
      </w:tabs>
      <w:snapToGrid w:val="0"/>
      <w:jc w:val="center"/>
    </w:pPr>
    <w:rPr>
      <w:sz w:val="18"/>
      <w:szCs w:val="18"/>
    </w:rPr>
  </w:style>
  <w:style w:type="character" w:customStyle="1" w:styleId="a5">
    <w:name w:val="页眉 字符"/>
    <w:basedOn w:val="a0"/>
    <w:link w:val="a4"/>
    <w:uiPriority w:val="99"/>
    <w:rsid w:val="00844A12"/>
    <w:rPr>
      <w:snapToGrid w:val="0"/>
      <w:sz w:val="18"/>
      <w:szCs w:val="18"/>
    </w:rPr>
  </w:style>
  <w:style w:type="paragraph" w:styleId="a6">
    <w:name w:val="footer"/>
    <w:basedOn w:val="a"/>
    <w:link w:val="a7"/>
    <w:uiPriority w:val="99"/>
    <w:unhideWhenUsed/>
    <w:rsid w:val="00844A12"/>
    <w:pPr>
      <w:tabs>
        <w:tab w:val="center" w:pos="4153"/>
        <w:tab w:val="right" w:pos="8306"/>
      </w:tabs>
      <w:snapToGrid w:val="0"/>
    </w:pPr>
    <w:rPr>
      <w:sz w:val="18"/>
      <w:szCs w:val="18"/>
    </w:rPr>
  </w:style>
  <w:style w:type="character" w:customStyle="1" w:styleId="a7">
    <w:name w:val="页脚 字符"/>
    <w:basedOn w:val="a0"/>
    <w:link w:val="a6"/>
    <w:uiPriority w:val="99"/>
    <w:rsid w:val="00844A12"/>
    <w:rPr>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1863</Words>
  <Characters>13216</Characters>
  <Application>Microsoft Office Word</Application>
  <DocSecurity>0</DocSecurity>
  <Lines>206</Lines>
  <Paragraphs>61</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15018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Jingxuan Zhang</cp:lastModifiedBy>
  <cp:revision>73</cp:revision>
  <cp:lastPrinted>2013-10-21T12:07:00Z</cp:lastPrinted>
  <dcterms:created xsi:type="dcterms:W3CDTF">2026-05-31T15:08:00Z</dcterms:created>
  <dcterms:modified xsi:type="dcterms:W3CDTF">2026-05-31T18:06:00Z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id="evzHo9Fn"/&gt;&lt;style id="http://www.zotero.org/styles/chemistry-of-materials" hasBibliography="1" bibliographyStyleHasBeenSet="1"/&gt;&lt;prefs&gt;&lt;pref name="fieldType" value="Field"/&gt;&lt;/prefs&gt;&lt;/data&gt;</vt:lpwstr>
  </property>
</Properties>
</file>