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D667E" w14:textId="56A586F0" w:rsidR="00325004" w:rsidRPr="007B06AB" w:rsidRDefault="00C5724C" w:rsidP="00E0716D">
      <w:pPr>
        <w:jc w:val="center"/>
        <w:rPr>
          <w:b/>
          <w:sz w:val="28"/>
        </w:rPr>
      </w:pPr>
      <w:r>
        <w:rPr>
          <w:b/>
          <w:sz w:val="28"/>
        </w:rPr>
        <w:t xml:space="preserve">Selective </w:t>
      </w:r>
      <w:r w:rsidR="007B06AB" w:rsidRPr="007B06AB">
        <w:rPr>
          <w:b/>
          <w:sz w:val="28"/>
        </w:rPr>
        <w:t xml:space="preserve">Electroreduction of Acetone on </w:t>
      </w:r>
      <w:proofErr w:type="spellStart"/>
      <w:r w:rsidR="007B06AB" w:rsidRPr="007B06AB">
        <w:rPr>
          <w:b/>
          <w:sz w:val="28"/>
        </w:rPr>
        <w:t>PtRu</w:t>
      </w:r>
      <w:proofErr w:type="spellEnd"/>
      <w:r w:rsidR="007B06AB" w:rsidRPr="007B06AB">
        <w:rPr>
          <w:b/>
          <w:sz w:val="28"/>
        </w:rPr>
        <w:t xml:space="preserve"> Model Catalysts</w:t>
      </w:r>
    </w:p>
    <w:p w14:paraId="5621AC9D" w14:textId="77777777" w:rsidR="00325004" w:rsidRPr="007B06AB" w:rsidRDefault="00325004" w:rsidP="00E0716D">
      <w:pPr>
        <w:jc w:val="center"/>
        <w:rPr>
          <w:b/>
          <w:sz w:val="28"/>
        </w:rPr>
      </w:pPr>
    </w:p>
    <w:p w14:paraId="1AF2B906" w14:textId="743AD4D6" w:rsidR="003C0CA1" w:rsidRDefault="00392C82" w:rsidP="00041322">
      <w:pPr>
        <w:jc w:val="center"/>
      </w:pPr>
      <w:r>
        <w:rPr>
          <w:u w:val="single"/>
        </w:rPr>
        <w:t xml:space="preserve">Daniel </w:t>
      </w:r>
      <w:proofErr w:type="spellStart"/>
      <w:r>
        <w:rPr>
          <w:u w:val="single"/>
        </w:rPr>
        <w:t>Schauermann</w:t>
      </w:r>
      <w:r w:rsidR="005562CD" w:rsidRPr="003C0CA1">
        <w:rPr>
          <w:u w:val="single"/>
          <w:vertAlign w:val="superscript"/>
        </w:rPr>
        <w:t>a</w:t>
      </w:r>
      <w:proofErr w:type="spellEnd"/>
      <w:r w:rsidR="007B06AB" w:rsidRPr="003C0CA1">
        <w:rPr>
          <w:u w:val="single"/>
        </w:rPr>
        <w:t>,</w:t>
      </w:r>
      <w:r w:rsidR="00325004" w:rsidRPr="003C0CA1">
        <w:t xml:space="preserve"> </w:t>
      </w:r>
      <w:r w:rsidR="007B06AB" w:rsidRPr="003C0CA1">
        <w:t xml:space="preserve">Robert </w:t>
      </w:r>
      <w:proofErr w:type="spellStart"/>
      <w:r w:rsidR="007B06AB" w:rsidRPr="003C0CA1">
        <w:t>Hübsch</w:t>
      </w:r>
      <w:r w:rsidR="005562CD" w:rsidRPr="003C0CA1">
        <w:rPr>
          <w:vertAlign w:val="superscript"/>
        </w:rPr>
        <w:t>a</w:t>
      </w:r>
      <w:proofErr w:type="spellEnd"/>
      <w:r w:rsidR="007B06AB" w:rsidRPr="003C0CA1">
        <w:t>,</w:t>
      </w:r>
      <w:r w:rsidR="005562CD" w:rsidRPr="003C0CA1">
        <w:t xml:space="preserve"> Jan </w:t>
      </w:r>
      <w:proofErr w:type="spellStart"/>
      <w:r w:rsidR="005562CD" w:rsidRPr="003C0CA1">
        <w:t>Škvára</w:t>
      </w:r>
      <w:r w:rsidR="003C0CA1">
        <w:rPr>
          <w:vertAlign w:val="superscript"/>
        </w:rPr>
        <w:t>b</w:t>
      </w:r>
      <w:proofErr w:type="spellEnd"/>
      <w:r w:rsidR="005562CD" w:rsidRPr="003C0CA1">
        <w:t>,</w:t>
      </w:r>
      <w:r w:rsidR="003C0CA1" w:rsidRPr="003C0CA1">
        <w:t xml:space="preserve"> </w:t>
      </w:r>
      <w:proofErr w:type="spellStart"/>
      <w:r w:rsidR="003C0CA1" w:rsidRPr="003C0CA1">
        <w:t>Tomáš</w:t>
      </w:r>
      <w:proofErr w:type="spellEnd"/>
      <w:r w:rsidR="003C0CA1" w:rsidRPr="003C0CA1">
        <w:t xml:space="preserve"> </w:t>
      </w:r>
      <w:proofErr w:type="spellStart"/>
      <w:r w:rsidR="003C0CA1" w:rsidRPr="003C0CA1">
        <w:t>Skála</w:t>
      </w:r>
      <w:r w:rsidR="003C0CA1" w:rsidRPr="003C0CA1">
        <w:rPr>
          <w:vertAlign w:val="superscript"/>
        </w:rPr>
        <w:t>b</w:t>
      </w:r>
      <w:proofErr w:type="spellEnd"/>
      <w:r w:rsidR="003C0CA1" w:rsidRPr="003C0CA1">
        <w:t xml:space="preserve">, Nataliya </w:t>
      </w:r>
      <w:proofErr w:type="spellStart"/>
      <w:r w:rsidR="003C0CA1" w:rsidRPr="003C0CA1">
        <w:t>Tsud</w:t>
      </w:r>
      <w:r w:rsidR="003C0CA1" w:rsidRPr="003C0CA1">
        <w:rPr>
          <w:vertAlign w:val="superscript"/>
        </w:rPr>
        <w:t>b</w:t>
      </w:r>
      <w:proofErr w:type="spellEnd"/>
      <w:r w:rsidR="003C0CA1" w:rsidRPr="003C0CA1">
        <w:t>, J</w:t>
      </w:r>
      <w:r w:rsidR="003C0CA1">
        <w:t>osef</w:t>
      </w:r>
      <w:r w:rsidR="003C0CA1" w:rsidRPr="003C0CA1">
        <w:t xml:space="preserve"> </w:t>
      </w:r>
      <w:proofErr w:type="spellStart"/>
      <w:r w:rsidR="003C0CA1" w:rsidRPr="003C0CA1">
        <w:t>Mysliveček</w:t>
      </w:r>
      <w:r w:rsidR="003C0CA1" w:rsidRPr="003C0CA1">
        <w:rPr>
          <w:vertAlign w:val="superscript"/>
        </w:rPr>
        <w:t>b</w:t>
      </w:r>
      <w:proofErr w:type="spellEnd"/>
      <w:r w:rsidR="003C0CA1" w:rsidRPr="003C0CA1">
        <w:t>,</w:t>
      </w:r>
      <w:r w:rsidRPr="00392C82">
        <w:t xml:space="preserve"> </w:t>
      </w:r>
      <w:r>
        <w:t xml:space="preserve">Olaf </w:t>
      </w:r>
      <w:proofErr w:type="spellStart"/>
      <w:r>
        <w:t>Brummel</w:t>
      </w:r>
      <w:r w:rsidRPr="003C0CA1">
        <w:rPr>
          <w:vertAlign w:val="superscript"/>
        </w:rPr>
        <w:t>a</w:t>
      </w:r>
      <w:proofErr w:type="spellEnd"/>
      <w:r>
        <w:t xml:space="preserve">, </w:t>
      </w:r>
      <w:r w:rsidR="003C0CA1" w:rsidRPr="003C0CA1">
        <w:t xml:space="preserve">Yaroslava </w:t>
      </w:r>
      <w:proofErr w:type="spellStart"/>
      <w:r w:rsidR="003C0CA1" w:rsidRPr="003C0CA1">
        <w:t>Lykhach</w:t>
      </w:r>
      <w:r w:rsidR="003C0CA1" w:rsidRPr="003C0CA1">
        <w:rPr>
          <w:vertAlign w:val="superscript"/>
        </w:rPr>
        <w:t>a</w:t>
      </w:r>
      <w:proofErr w:type="spellEnd"/>
      <w:r w:rsidR="003C0CA1" w:rsidRPr="003C0CA1">
        <w:t xml:space="preserve">, </w:t>
      </w:r>
      <w:proofErr w:type="spellStart"/>
      <w:r w:rsidR="003C0CA1">
        <w:t>Jörg</w:t>
      </w:r>
      <w:proofErr w:type="spellEnd"/>
      <w:r w:rsidR="00041322">
        <w:t> </w:t>
      </w:r>
      <w:proofErr w:type="spellStart"/>
      <w:r w:rsidR="003C0CA1" w:rsidRPr="003C0CA1">
        <w:t>Libuda</w:t>
      </w:r>
      <w:r w:rsidR="003C0CA1" w:rsidRPr="003C0CA1">
        <w:rPr>
          <w:vertAlign w:val="superscript"/>
        </w:rPr>
        <w:t>a</w:t>
      </w:r>
      <w:proofErr w:type="spellEnd"/>
    </w:p>
    <w:p w14:paraId="0CB97B46" w14:textId="77777777" w:rsidR="00CB0FDE" w:rsidRPr="003C0CA1" w:rsidRDefault="00CB0FDE" w:rsidP="003C0CA1"/>
    <w:p w14:paraId="657AA5BD" w14:textId="77777777" w:rsidR="00CB0FDE" w:rsidRPr="00CB0FDE" w:rsidRDefault="00CB0FDE" w:rsidP="00CB0FDE">
      <w:pPr>
        <w:jc w:val="center"/>
        <w:rPr>
          <w:i/>
          <w:lang w:val="de-DE"/>
        </w:rPr>
      </w:pPr>
      <w:r w:rsidRPr="00CB0FDE">
        <w:rPr>
          <w:i/>
          <w:vertAlign w:val="superscript"/>
          <w:lang w:val="de-DE"/>
        </w:rPr>
        <w:t xml:space="preserve">a </w:t>
      </w:r>
      <w:r w:rsidRPr="00CB0FDE">
        <w:rPr>
          <w:i/>
          <w:lang w:val="de-DE"/>
        </w:rPr>
        <w:t xml:space="preserve">Interface Research and </w:t>
      </w:r>
      <w:proofErr w:type="spellStart"/>
      <w:r w:rsidRPr="00CB0FDE">
        <w:rPr>
          <w:i/>
          <w:lang w:val="de-DE"/>
        </w:rPr>
        <w:t>Catalysis</w:t>
      </w:r>
      <w:proofErr w:type="spellEnd"/>
      <w:r w:rsidRPr="00CB0FDE">
        <w:rPr>
          <w:i/>
          <w:lang w:val="de-DE"/>
        </w:rPr>
        <w:t>, ECRC, Friedrich-Alexander-Universität Erlangen-Nürnberg, Egerlandstraße 3, 91058 Erlangen, Germany</w:t>
      </w:r>
    </w:p>
    <w:p w14:paraId="06573FD7" w14:textId="2C91DB97" w:rsidR="00CB0FDE" w:rsidRDefault="00CB0FDE" w:rsidP="00CB0FDE">
      <w:pPr>
        <w:jc w:val="center"/>
        <w:rPr>
          <w:i/>
        </w:rPr>
      </w:pPr>
      <w:r w:rsidRPr="00CB0FDE">
        <w:rPr>
          <w:i/>
          <w:vertAlign w:val="superscript"/>
        </w:rPr>
        <w:t>b</w:t>
      </w:r>
      <w:r w:rsidR="009E2342">
        <w:rPr>
          <w:i/>
          <w:vertAlign w:val="superscript"/>
        </w:rPr>
        <w:t xml:space="preserve"> </w:t>
      </w:r>
      <w:r w:rsidRPr="00CB0FDE">
        <w:rPr>
          <w:i/>
        </w:rPr>
        <w:t>Department of Surface and Plasma Science,</w:t>
      </w:r>
      <w:r w:rsidR="009E2342">
        <w:rPr>
          <w:i/>
        </w:rPr>
        <w:t xml:space="preserve"> </w:t>
      </w:r>
      <w:r w:rsidR="009E2342" w:rsidRPr="00CB0FDE">
        <w:rPr>
          <w:i/>
        </w:rPr>
        <w:t>Faculty of Mathematics and Physics, Charles</w:t>
      </w:r>
      <w:r w:rsidR="009E2342">
        <w:rPr>
          <w:i/>
        </w:rPr>
        <w:t> </w:t>
      </w:r>
      <w:r w:rsidR="009E2342" w:rsidRPr="00CB0FDE">
        <w:rPr>
          <w:i/>
        </w:rPr>
        <w:t>University</w:t>
      </w:r>
      <w:r w:rsidR="009E2342">
        <w:rPr>
          <w:i/>
        </w:rPr>
        <w:t>,</w:t>
      </w:r>
      <w:r w:rsidR="00C5724C">
        <w:rPr>
          <w:i/>
        </w:rPr>
        <w:t xml:space="preserve"> </w:t>
      </w:r>
      <w:r w:rsidRPr="00CB0FDE">
        <w:rPr>
          <w:i/>
        </w:rPr>
        <w:t>V</w:t>
      </w:r>
      <w:r>
        <w:rPr>
          <w:i/>
        </w:rPr>
        <w:t> </w:t>
      </w:r>
      <w:proofErr w:type="spellStart"/>
      <w:r w:rsidRPr="00CB0FDE">
        <w:rPr>
          <w:i/>
        </w:rPr>
        <w:t>Holešovičkách</w:t>
      </w:r>
      <w:proofErr w:type="spellEnd"/>
      <w:r w:rsidRPr="00CB0FDE">
        <w:rPr>
          <w:i/>
        </w:rPr>
        <w:t xml:space="preserve"> 2, Prague, 18000, Czech Republic</w:t>
      </w:r>
    </w:p>
    <w:p w14:paraId="6BAEB0AC" w14:textId="77777777" w:rsidR="00CB0FDE" w:rsidRDefault="00CB0FDE" w:rsidP="00CB0FDE">
      <w:pPr>
        <w:jc w:val="center"/>
        <w:rPr>
          <w:i/>
        </w:rPr>
      </w:pPr>
    </w:p>
    <w:p w14:paraId="3F027F13" w14:textId="37FDE846" w:rsidR="00685C1A" w:rsidRPr="00685C1A" w:rsidRDefault="00392C82" w:rsidP="00CB0FDE">
      <w:pPr>
        <w:jc w:val="center"/>
        <w:rPr>
          <w:i/>
        </w:rPr>
      </w:pPr>
      <w:r>
        <w:rPr>
          <w:i/>
        </w:rPr>
        <w:t>daniel.schauermann</w:t>
      </w:r>
      <w:r w:rsidR="00CB0FDE">
        <w:rPr>
          <w:i/>
        </w:rPr>
        <w:t>@fau.de</w:t>
      </w:r>
    </w:p>
    <w:p w14:paraId="5DD1C28F" w14:textId="77777777" w:rsidR="00325004" w:rsidRDefault="00325004" w:rsidP="00E0716D">
      <w:pPr>
        <w:jc w:val="center"/>
      </w:pPr>
    </w:p>
    <w:p w14:paraId="562E138E" w14:textId="39FA1594" w:rsidR="00C5724C" w:rsidRDefault="00C849F4" w:rsidP="007B06AB">
      <w:pPr>
        <w:jc w:val="both"/>
      </w:pPr>
      <w:r>
        <w:t>Liquid organic hydrogen carriers (</w:t>
      </w:r>
      <w:r w:rsidR="00746C1E" w:rsidRPr="00746C1E">
        <w:t>LOHC</w:t>
      </w:r>
      <w:r>
        <w:t xml:space="preserve">) enable </w:t>
      </w:r>
      <w:r w:rsidRPr="00C849F4">
        <w:t>hydrogen storage in a dense, chemically stable, and easily transportable liquid form.</w:t>
      </w:r>
      <w:r w:rsidR="00746C1E" w:rsidRPr="00746C1E">
        <w:t xml:space="preserve"> </w:t>
      </w:r>
      <w:r>
        <w:t>T</w:t>
      </w:r>
      <w:r w:rsidRPr="00746C1E">
        <w:t xml:space="preserve">he </w:t>
      </w:r>
      <w:r w:rsidR="00746C1E" w:rsidRPr="00746C1E">
        <w:t xml:space="preserve">isopropanol/acetone couple is of particular interest due to its capability to function as an electrochemically active </w:t>
      </w:r>
      <w:r>
        <w:t>(</w:t>
      </w:r>
      <w:r w:rsidR="00746C1E" w:rsidRPr="00746C1E">
        <w:t>EC-</w:t>
      </w:r>
      <w:r>
        <w:t>)</w:t>
      </w:r>
      <w:proofErr w:type="gramStart"/>
      <w:r w:rsidR="00746C1E" w:rsidRPr="00746C1E">
        <w:t>LOHC.</w:t>
      </w:r>
      <w:r w:rsidR="00746C1E" w:rsidRPr="005453F9">
        <w:rPr>
          <w:vertAlign w:val="superscript"/>
        </w:rPr>
        <w:t>[</w:t>
      </w:r>
      <w:proofErr w:type="gramEnd"/>
      <w:r w:rsidR="00746C1E" w:rsidRPr="005453F9">
        <w:rPr>
          <w:vertAlign w:val="superscript"/>
        </w:rPr>
        <w:t>1-3]</w:t>
      </w:r>
      <w:r w:rsidR="00746C1E" w:rsidRPr="00746C1E">
        <w:t xml:space="preserve"> </w:t>
      </w:r>
      <w:r w:rsidR="00C5724C" w:rsidRPr="00C5724C">
        <w:t>This enables direct electrochemical charging and discharging</w:t>
      </w:r>
      <w:r w:rsidR="005453F9">
        <w:t>,</w:t>
      </w:r>
      <w:r w:rsidR="00C5724C" w:rsidRPr="00C5724C">
        <w:t xml:space="preserve"> in addition to the benefits of </w:t>
      </w:r>
      <w:r>
        <w:t xml:space="preserve">conventional </w:t>
      </w:r>
      <w:r w:rsidR="00C5724C" w:rsidRPr="00C5724C">
        <w:t xml:space="preserve">LOHCs. However, its practical implementation requires highly active and selective </w:t>
      </w:r>
      <w:r>
        <w:t>electro</w:t>
      </w:r>
      <w:r w:rsidR="00C5724C" w:rsidRPr="00C5724C">
        <w:t>catalysts that can efficiently facilitate both the reduction of acetone to isopropanol and the oxidation of isopropanol to acetone.</w:t>
      </w:r>
    </w:p>
    <w:p w14:paraId="5D5F0CAB" w14:textId="77777777" w:rsidR="00472C18" w:rsidRDefault="00472C18" w:rsidP="007B06AB">
      <w:pPr>
        <w:jc w:val="both"/>
      </w:pPr>
    </w:p>
    <w:p w14:paraId="43B48354" w14:textId="6AB8B66A" w:rsidR="00C5724C" w:rsidRDefault="007B06AB" w:rsidP="007B06AB">
      <w:pPr>
        <w:jc w:val="both"/>
      </w:pPr>
      <w:r>
        <w:t xml:space="preserve">In this study, we </w:t>
      </w:r>
      <w:r w:rsidR="00C5724C">
        <w:t>investigate the electroreduction of acetone</w:t>
      </w:r>
      <w:r>
        <w:t xml:space="preserve"> on well-defined </w:t>
      </w:r>
      <w:proofErr w:type="spellStart"/>
      <w:r>
        <w:t>PtRu</w:t>
      </w:r>
      <w:proofErr w:type="spellEnd"/>
      <w:r w:rsidR="00222524">
        <w:t>/Ru(10-10)</w:t>
      </w:r>
      <w:r>
        <w:t xml:space="preserve"> model surface alloy</w:t>
      </w:r>
      <w:r w:rsidR="00C5724C">
        <w:t>s</w:t>
      </w:r>
      <w:r>
        <w:t xml:space="preserve">, prepared via surface science methods. </w:t>
      </w:r>
      <w:r w:rsidR="00C5724C" w:rsidRPr="00C5724C">
        <w:t>Precise preparation under ultra-high vacuum (UHV) conditions enables controlled tuning and detailed characterization of the catalyst’s chemical composition and structure at the reaction-relevant solid-liquid interface.</w:t>
      </w:r>
      <w:r w:rsidR="00C849F4" w:rsidRPr="00153E01">
        <w:rPr>
          <w:vertAlign w:val="superscript"/>
        </w:rPr>
        <w:t>[</w:t>
      </w:r>
      <w:r w:rsidR="00153E01" w:rsidRPr="00153E01">
        <w:rPr>
          <w:vertAlign w:val="superscript"/>
        </w:rPr>
        <w:t>4]</w:t>
      </w:r>
      <w:r w:rsidR="00C5724C" w:rsidRPr="00C5724C">
        <w:t xml:space="preserve"> This control provides atomistic insight into electrode processes unattainable in conventional, bulk-characterized systems. Our approach </w:t>
      </w:r>
      <w:r w:rsidR="00C5724C">
        <w:t>combines</w:t>
      </w:r>
      <w:r w:rsidR="00C5724C" w:rsidRPr="00C5724C">
        <w:t xml:space="preserve"> cyclic voltammetry (CV), </w:t>
      </w:r>
      <w:r w:rsidR="004B79C9">
        <w:t xml:space="preserve">ex-situ </w:t>
      </w:r>
      <w:r w:rsidR="00C5724C" w:rsidRPr="00C5724C">
        <w:t>emersion synchrotron radiation photoelectron spectroscopy (SRPES), electrochemical infrared reflection absorption spectroscopy (EC-IRRAS), and differential electrochemical mass spectrometry (DEMS).</w:t>
      </w:r>
    </w:p>
    <w:p w14:paraId="3BFA0CBA" w14:textId="77777777" w:rsidR="004B79C9" w:rsidRDefault="004B79C9" w:rsidP="007B06AB">
      <w:pPr>
        <w:jc w:val="both"/>
      </w:pPr>
    </w:p>
    <w:p w14:paraId="6D844BA4" w14:textId="30A825AA" w:rsidR="004B79C9" w:rsidRDefault="004B79C9" w:rsidP="007B06AB">
      <w:pPr>
        <w:jc w:val="both"/>
      </w:pPr>
      <w:r w:rsidRPr="004B79C9">
        <w:t xml:space="preserve">The highly coordinated </w:t>
      </w:r>
      <w:proofErr w:type="spellStart"/>
      <w:r w:rsidRPr="004B79C9">
        <w:t>PtRu</w:t>
      </w:r>
      <w:proofErr w:type="spellEnd"/>
      <w:r w:rsidRPr="004B79C9">
        <w:t>/</w:t>
      </w:r>
      <w:proofErr w:type="gramStart"/>
      <w:r w:rsidRPr="004B79C9">
        <w:t>Ru(</w:t>
      </w:r>
      <w:proofErr w:type="gramEnd"/>
      <w:r w:rsidRPr="004B79C9">
        <w:t>0001) surface (N = 9), which exhibits low intrinsic catalytic activity, requires activation via a dealloying procedure involving consecutive oxidation–reduction cycles.</w:t>
      </w:r>
      <w:r w:rsidRPr="00153E01">
        <w:rPr>
          <w:vertAlign w:val="superscript"/>
        </w:rPr>
        <w:t>[</w:t>
      </w:r>
      <w:r w:rsidR="00153E01" w:rsidRPr="00153E01">
        <w:rPr>
          <w:vertAlign w:val="superscript"/>
        </w:rPr>
        <w:t>5</w:t>
      </w:r>
      <w:r w:rsidRPr="00153E01">
        <w:rPr>
          <w:vertAlign w:val="superscript"/>
        </w:rPr>
        <w:t>]</w:t>
      </w:r>
      <w:r w:rsidRPr="004B79C9">
        <w:t xml:space="preserve"> In contrast, the </w:t>
      </w:r>
      <w:proofErr w:type="spellStart"/>
      <w:r w:rsidRPr="004B79C9">
        <w:t>PtRu</w:t>
      </w:r>
      <w:proofErr w:type="spellEnd"/>
      <w:r w:rsidRPr="004B79C9">
        <w:t xml:space="preserve">/Ru(10-10) surface studied here, with a lower coordination number (N = 8), is intrinsically active toward acetone reduction and does not require dealloying, indicating that lower-coordinated sites are catalytically active. Unlike </w:t>
      </w:r>
      <w:proofErr w:type="gramStart"/>
      <w:r w:rsidRPr="004B79C9">
        <w:t>Pt(</w:t>
      </w:r>
      <w:proofErr w:type="gramEnd"/>
      <w:r w:rsidRPr="004B79C9">
        <w:t>110), which predominantly yields the decomposition product propane,</w:t>
      </w:r>
      <w:r w:rsidRPr="00153E01">
        <w:rPr>
          <w:vertAlign w:val="superscript"/>
        </w:rPr>
        <w:t>[</w:t>
      </w:r>
      <w:r w:rsidR="00153E01" w:rsidRPr="00153E01">
        <w:rPr>
          <w:vertAlign w:val="superscript"/>
        </w:rPr>
        <w:t>6</w:t>
      </w:r>
      <w:r w:rsidRPr="00153E01">
        <w:rPr>
          <w:vertAlign w:val="superscript"/>
        </w:rPr>
        <w:t>]</w:t>
      </w:r>
      <w:r w:rsidRPr="004B79C9">
        <w:t xml:space="preserve"> the </w:t>
      </w:r>
      <w:proofErr w:type="spellStart"/>
      <w:r w:rsidRPr="004B79C9">
        <w:t>PtRu</w:t>
      </w:r>
      <w:proofErr w:type="spellEnd"/>
      <w:r w:rsidRPr="004B79C9">
        <w:t>/Ru(10-10) model catalysts selectively produce isopropanol while effectively suppressing propane formation.</w:t>
      </w:r>
    </w:p>
    <w:p w14:paraId="3E81DC25" w14:textId="77777777" w:rsidR="00CB0FDE" w:rsidRDefault="00CB0FDE" w:rsidP="007B06AB">
      <w:pPr>
        <w:jc w:val="both"/>
      </w:pPr>
    </w:p>
    <w:p w14:paraId="6E831D7D" w14:textId="77777777" w:rsidR="00A47E72" w:rsidRPr="009E2342" w:rsidRDefault="00A47E72" w:rsidP="00A47E72">
      <w:pPr>
        <w:jc w:val="both"/>
        <w:rPr>
          <w:b/>
          <w:bCs/>
        </w:rPr>
      </w:pPr>
      <w:r w:rsidRPr="009E2342">
        <w:rPr>
          <w:b/>
          <w:bCs/>
        </w:rPr>
        <w:t>References</w:t>
      </w:r>
    </w:p>
    <w:p w14:paraId="370F36D4" w14:textId="77777777" w:rsidR="00A47E72" w:rsidRDefault="00A47E72" w:rsidP="00A47E72">
      <w:pPr>
        <w:jc w:val="both"/>
      </w:pPr>
      <w:r>
        <w:t>[1]</w:t>
      </w:r>
      <w:r>
        <w:tab/>
        <w:t xml:space="preserve">G. </w:t>
      </w:r>
      <w:proofErr w:type="spellStart"/>
      <w:r>
        <w:t>Sievi</w:t>
      </w:r>
      <w:proofErr w:type="spellEnd"/>
      <w:r>
        <w:t xml:space="preserve"> et al., Energy &amp; Environmental Science 2019, 12 (7), 2305-2314.</w:t>
      </w:r>
    </w:p>
    <w:p w14:paraId="5DB72494" w14:textId="77777777" w:rsidR="00A47E72" w:rsidRDefault="00A47E72" w:rsidP="00A47E72">
      <w:pPr>
        <w:jc w:val="both"/>
      </w:pPr>
      <w:r>
        <w:t>[2]</w:t>
      </w:r>
      <w:r>
        <w:tab/>
        <w:t xml:space="preserve">F. </w:t>
      </w:r>
      <w:proofErr w:type="spellStart"/>
      <w:r>
        <w:t>Waidhas</w:t>
      </w:r>
      <w:proofErr w:type="spellEnd"/>
      <w:r>
        <w:t xml:space="preserve"> et al.,  ACS Catalysis 2020, 10 (12), 6831-6842.</w:t>
      </w:r>
    </w:p>
    <w:p w14:paraId="56031922" w14:textId="77777777" w:rsidR="00A47E72" w:rsidRDefault="00A47E72" w:rsidP="00A47E72">
      <w:pPr>
        <w:jc w:val="both"/>
      </w:pPr>
      <w:r>
        <w:t>[3]</w:t>
      </w:r>
      <w:r>
        <w:tab/>
        <w:t xml:space="preserve">A. </w:t>
      </w:r>
      <w:proofErr w:type="spellStart"/>
      <w:r>
        <w:t>Simanenko</w:t>
      </w:r>
      <w:proofErr w:type="spellEnd"/>
      <w:r>
        <w:t xml:space="preserve"> et al., ACS Energy Letters 2024, 4875-4882.</w:t>
      </w:r>
    </w:p>
    <w:p w14:paraId="698FEB71" w14:textId="1E8B5061" w:rsidR="00153E01" w:rsidRPr="00153E01" w:rsidRDefault="00153E01" w:rsidP="00A47E72">
      <w:pPr>
        <w:jc w:val="both"/>
      </w:pPr>
      <w:r w:rsidRPr="00153E01">
        <w:t>[4]</w:t>
      </w:r>
      <w:r w:rsidRPr="00153E01">
        <w:tab/>
        <w:t xml:space="preserve">R. </w:t>
      </w:r>
      <w:proofErr w:type="spellStart"/>
      <w:r w:rsidRPr="00153E01">
        <w:t>Hübsch</w:t>
      </w:r>
      <w:proofErr w:type="spellEnd"/>
      <w:r w:rsidRPr="00153E01">
        <w:t xml:space="preserve"> et al., </w:t>
      </w:r>
      <w:proofErr w:type="spellStart"/>
      <w:r w:rsidRPr="00153E01">
        <w:t>Electro</w:t>
      </w:r>
      <w:r>
        <w:t>chimica</w:t>
      </w:r>
      <w:proofErr w:type="spellEnd"/>
      <w:r>
        <w:t xml:space="preserve"> Acta 2026, 570, 148959.</w:t>
      </w:r>
    </w:p>
    <w:p w14:paraId="4FE7FF3F" w14:textId="4ADA28A2" w:rsidR="00A47E72" w:rsidRDefault="00A47E72" w:rsidP="00A47E72">
      <w:pPr>
        <w:jc w:val="both"/>
      </w:pPr>
      <w:r>
        <w:t>[</w:t>
      </w:r>
      <w:r w:rsidR="00153E01">
        <w:t>5</w:t>
      </w:r>
      <w:r>
        <w:t>]</w:t>
      </w:r>
      <w:r>
        <w:tab/>
        <w:t xml:space="preserve">R. </w:t>
      </w:r>
      <w:proofErr w:type="spellStart"/>
      <w:r>
        <w:t>Hübsch</w:t>
      </w:r>
      <w:proofErr w:type="spellEnd"/>
      <w:r>
        <w:t xml:space="preserve"> et al., Unlocking the Selectivity of Pt‒Ru Catalysts for Electrochemical Reduction of Acetone to Isopropanol, submitted.</w:t>
      </w:r>
    </w:p>
    <w:p w14:paraId="3A0CDD55" w14:textId="269A26F5" w:rsidR="007B06AB" w:rsidRDefault="00A47E72" w:rsidP="00A47E72">
      <w:pPr>
        <w:jc w:val="both"/>
      </w:pPr>
      <w:r>
        <w:t>[</w:t>
      </w:r>
      <w:r w:rsidR="00153E01">
        <w:t>6</w:t>
      </w:r>
      <w:r>
        <w:t>]</w:t>
      </w:r>
      <w:r>
        <w:tab/>
        <w:t xml:space="preserve">M. </w:t>
      </w:r>
      <w:proofErr w:type="spellStart"/>
      <w:r>
        <w:t>Kastenmeier</w:t>
      </w:r>
      <w:proofErr w:type="spellEnd"/>
      <w:r>
        <w:t xml:space="preserve"> et al., The Journal of Physical Chemistry C 2023, 127 (47), 22975-22983.</w:t>
      </w:r>
    </w:p>
    <w:p w14:paraId="6635D8B0" w14:textId="77777777" w:rsidR="00A47E72" w:rsidRDefault="00A47E72" w:rsidP="00E0716D">
      <w:pPr>
        <w:jc w:val="both"/>
      </w:pPr>
    </w:p>
    <w:p w14:paraId="2A7FF656" w14:textId="77777777" w:rsidR="00325004" w:rsidRDefault="00325004" w:rsidP="00E0716D">
      <w:pPr>
        <w:jc w:val="both"/>
      </w:pPr>
    </w:p>
    <w:p w14:paraId="26BEA41B" w14:textId="77777777" w:rsidR="00E0716D" w:rsidRDefault="00E0716D" w:rsidP="00E0716D">
      <w:pPr>
        <w:jc w:val="both"/>
      </w:pPr>
    </w:p>
    <w:sectPr w:rsidR="00E0716D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41322"/>
    <w:rsid w:val="00041EFD"/>
    <w:rsid w:val="000B416E"/>
    <w:rsid w:val="00153E01"/>
    <w:rsid w:val="002020C7"/>
    <w:rsid w:val="00222524"/>
    <w:rsid w:val="002527A9"/>
    <w:rsid w:val="00325004"/>
    <w:rsid w:val="00392C82"/>
    <w:rsid w:val="003C0CA1"/>
    <w:rsid w:val="00456C50"/>
    <w:rsid w:val="00472C18"/>
    <w:rsid w:val="004B79C9"/>
    <w:rsid w:val="00536366"/>
    <w:rsid w:val="005453F9"/>
    <w:rsid w:val="005562CD"/>
    <w:rsid w:val="00685C1A"/>
    <w:rsid w:val="0071546A"/>
    <w:rsid w:val="00746C1E"/>
    <w:rsid w:val="007B06AB"/>
    <w:rsid w:val="009E2342"/>
    <w:rsid w:val="00A47E72"/>
    <w:rsid w:val="00AB1181"/>
    <w:rsid w:val="00B541E7"/>
    <w:rsid w:val="00BD1E3A"/>
    <w:rsid w:val="00BF67BE"/>
    <w:rsid w:val="00C222B6"/>
    <w:rsid w:val="00C5724C"/>
    <w:rsid w:val="00C67799"/>
    <w:rsid w:val="00C849F4"/>
    <w:rsid w:val="00CB0FDE"/>
    <w:rsid w:val="00E0716D"/>
    <w:rsid w:val="00F9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582B31"/>
  <w14:defaultImageDpi w14:val="300"/>
  <w15:docId w15:val="{2A2799A9-1BCE-4B22-909B-A44D1E7DB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C849F4"/>
    <w:rPr>
      <w:snapToGrid w:val="0"/>
    </w:rPr>
  </w:style>
  <w:style w:type="character" w:styleId="CommentReference">
    <w:name w:val="annotation reference"/>
    <w:basedOn w:val="DefaultParagraphFont"/>
    <w:uiPriority w:val="99"/>
    <w:semiHidden/>
    <w:unhideWhenUsed/>
    <w:rsid w:val="00C849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49F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49F4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49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49F4"/>
    <w:rPr>
      <w:b/>
      <w:bCs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381</Words>
  <Characters>2642</Characters>
  <Application>Microsoft Office Word</Application>
  <DocSecurity>0</DocSecurity>
  <Lines>22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Electrochemical Society</Company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Daniel Schauermann</cp:lastModifiedBy>
  <cp:revision>3</cp:revision>
  <cp:lastPrinted>2026-04-20T17:11:00Z</cp:lastPrinted>
  <dcterms:created xsi:type="dcterms:W3CDTF">2026-05-05T07:40:00Z</dcterms:created>
  <dcterms:modified xsi:type="dcterms:W3CDTF">2026-05-05T07:45:00Z</dcterms:modified>
</cp:coreProperties>
</file>