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6F361" w14:textId="1F785559" w:rsidR="00530288" w:rsidRPr="00B767AB" w:rsidRDefault="00A0664C" w:rsidP="00B767AB">
      <w:pPr>
        <w:contextualSpacing/>
        <w:jc w:val="center"/>
        <w:rPr>
          <w:rFonts w:ascii="Times New Roman" w:hAnsi="Times New Roman" w:cs="Times New Roman"/>
          <w:b/>
          <w:bCs/>
          <w:sz w:val="28"/>
          <w:szCs w:val="28"/>
        </w:rPr>
      </w:pPr>
      <w:r w:rsidRPr="00B767AB">
        <w:rPr>
          <w:rFonts w:ascii="Times New Roman" w:hAnsi="Times New Roman" w:cs="Times New Roman"/>
          <w:b/>
          <w:bCs/>
          <w:sz w:val="28"/>
          <w:szCs w:val="28"/>
        </w:rPr>
        <w:t>Operando Confocal Fluorescence Imaging of</w:t>
      </w:r>
      <w:r w:rsidR="00530288" w:rsidRPr="00B767AB">
        <w:rPr>
          <w:rFonts w:ascii="Times New Roman" w:hAnsi="Times New Roman" w:cs="Times New Roman"/>
          <w:b/>
          <w:bCs/>
          <w:sz w:val="28"/>
          <w:szCs w:val="28"/>
        </w:rPr>
        <w:t xml:space="preserve"> </w:t>
      </w:r>
      <w:proofErr w:type="gramStart"/>
      <w:r w:rsidR="0026778B" w:rsidRPr="00B767AB">
        <w:rPr>
          <w:rFonts w:ascii="Times New Roman" w:hAnsi="Times New Roman" w:cs="Times New Roman"/>
          <w:b/>
          <w:bCs/>
          <w:sz w:val="28"/>
          <w:szCs w:val="28"/>
        </w:rPr>
        <w:t>Electrochemically</w:t>
      </w:r>
      <w:r w:rsidRPr="00B767AB">
        <w:rPr>
          <w:rFonts w:ascii="Times New Roman" w:hAnsi="Times New Roman" w:cs="Times New Roman"/>
          <w:b/>
          <w:bCs/>
          <w:sz w:val="28"/>
          <w:szCs w:val="28"/>
        </w:rPr>
        <w:t>-Induced</w:t>
      </w:r>
      <w:proofErr w:type="gramEnd"/>
      <w:r w:rsidRPr="00B767AB">
        <w:rPr>
          <w:rFonts w:ascii="Times New Roman" w:hAnsi="Times New Roman" w:cs="Times New Roman"/>
          <w:b/>
          <w:bCs/>
          <w:sz w:val="28"/>
          <w:szCs w:val="28"/>
        </w:rPr>
        <w:t xml:space="preserve"> pH Gradients at Structured Electr</w:t>
      </w:r>
      <w:r w:rsidR="0026778B" w:rsidRPr="00B767AB">
        <w:rPr>
          <w:rFonts w:ascii="Times New Roman" w:hAnsi="Times New Roman" w:cs="Times New Roman"/>
          <w:b/>
          <w:bCs/>
          <w:sz w:val="28"/>
          <w:szCs w:val="28"/>
        </w:rPr>
        <w:t>ified</w:t>
      </w:r>
      <w:r w:rsidRPr="00B767AB">
        <w:rPr>
          <w:rFonts w:ascii="Times New Roman" w:hAnsi="Times New Roman" w:cs="Times New Roman"/>
          <w:b/>
          <w:bCs/>
          <w:sz w:val="28"/>
          <w:szCs w:val="28"/>
        </w:rPr>
        <w:t xml:space="preserve"> Interfaces</w:t>
      </w:r>
    </w:p>
    <w:p w14:paraId="456D8949" w14:textId="2EF6E811" w:rsidR="00530288" w:rsidRPr="00B767AB" w:rsidRDefault="00E06814" w:rsidP="00B767AB">
      <w:pPr>
        <w:jc w:val="center"/>
        <w:rPr>
          <w:rFonts w:ascii="Times New Roman" w:hAnsi="Times New Roman" w:cs="Times New Roman"/>
          <w:b/>
          <w:bCs/>
          <w:sz w:val="22"/>
          <w:szCs w:val="24"/>
          <w:lang w:val="fr-FR"/>
        </w:rPr>
      </w:pPr>
      <w:r w:rsidRPr="00B767AB">
        <w:rPr>
          <w:rFonts w:ascii="Times New Roman" w:hAnsi="Times New Roman" w:cs="Times New Roman"/>
          <w:sz w:val="20"/>
          <w:szCs w:val="20"/>
          <w:u w:val="single"/>
          <w:lang w:val="fr-FR"/>
        </w:rPr>
        <w:t>Xin Wu</w:t>
      </w:r>
      <w:r w:rsidRPr="00B767AB">
        <w:rPr>
          <w:rFonts w:ascii="Times New Roman" w:hAnsi="Times New Roman" w:cs="Times New Roman"/>
          <w:sz w:val="20"/>
          <w:szCs w:val="20"/>
          <w:u w:val="single"/>
          <w:vertAlign w:val="superscript"/>
          <w:lang w:val="fr-FR"/>
        </w:rPr>
        <w:t>a</w:t>
      </w:r>
      <w:r w:rsidRPr="00B767AB">
        <w:rPr>
          <w:rFonts w:ascii="Times New Roman" w:hAnsi="Times New Roman" w:cs="Times New Roman"/>
          <w:sz w:val="20"/>
          <w:szCs w:val="20"/>
          <w:lang w:val="fr-FR"/>
        </w:rPr>
        <w:t>, Bertrand Goudeau</w:t>
      </w:r>
      <w:r w:rsidRPr="00B767AB">
        <w:rPr>
          <w:rFonts w:ascii="Times New Roman" w:hAnsi="Times New Roman" w:cs="Times New Roman"/>
          <w:sz w:val="20"/>
          <w:szCs w:val="20"/>
          <w:vertAlign w:val="superscript"/>
          <w:lang w:val="fr-FR"/>
        </w:rPr>
        <w:t>a</w:t>
      </w:r>
      <w:r w:rsidRPr="00B767AB">
        <w:rPr>
          <w:rFonts w:ascii="Times New Roman" w:hAnsi="Times New Roman" w:cs="Times New Roman"/>
          <w:sz w:val="20"/>
          <w:szCs w:val="20"/>
          <w:lang w:val="fr-FR"/>
        </w:rPr>
        <w:t xml:space="preserve">, </w:t>
      </w:r>
      <w:r w:rsidR="00510991" w:rsidRPr="00B767AB">
        <w:rPr>
          <w:rFonts w:ascii="Times New Roman" w:hAnsi="Times New Roman" w:cs="Times New Roman"/>
          <w:sz w:val="20"/>
          <w:szCs w:val="20"/>
          <w:lang w:val="fr-FR"/>
        </w:rPr>
        <w:t>Patrick Garrigue</w:t>
      </w:r>
      <w:r w:rsidR="00510991" w:rsidRPr="00B767AB">
        <w:rPr>
          <w:rFonts w:ascii="Times New Roman" w:hAnsi="Times New Roman" w:cs="Times New Roman"/>
          <w:sz w:val="20"/>
          <w:szCs w:val="20"/>
          <w:vertAlign w:val="superscript"/>
          <w:lang w:val="fr-FR"/>
        </w:rPr>
        <w:t>a</w:t>
      </w:r>
      <w:r w:rsidRPr="00B767AB">
        <w:rPr>
          <w:rFonts w:ascii="Times New Roman" w:hAnsi="Times New Roman" w:cs="Times New Roman"/>
          <w:sz w:val="20"/>
          <w:szCs w:val="20"/>
          <w:lang w:val="fr-FR"/>
        </w:rPr>
        <w:t>, Neso Sojic</w:t>
      </w:r>
      <w:r w:rsidRPr="00B767AB">
        <w:rPr>
          <w:rFonts w:ascii="Times New Roman" w:hAnsi="Times New Roman" w:cs="Times New Roman"/>
          <w:sz w:val="20"/>
          <w:szCs w:val="20"/>
          <w:vertAlign w:val="superscript"/>
          <w:lang w:val="fr-FR"/>
        </w:rPr>
        <w:t xml:space="preserve">a </w:t>
      </w:r>
      <w:r w:rsidRPr="00B767AB">
        <w:rPr>
          <w:rFonts w:ascii="Times New Roman" w:hAnsi="Times New Roman" w:cs="Times New Roman"/>
          <w:sz w:val="20"/>
          <w:szCs w:val="20"/>
          <w:lang w:val="fr-FR"/>
        </w:rPr>
        <w:t>,</w:t>
      </w:r>
      <w:r w:rsidR="00530288" w:rsidRPr="00B767AB">
        <w:rPr>
          <w:rFonts w:ascii="Times New Roman" w:hAnsi="Times New Roman" w:cs="Times New Roman"/>
          <w:sz w:val="20"/>
          <w:szCs w:val="20"/>
          <w:lang w:val="fr-FR"/>
        </w:rPr>
        <w:t xml:space="preserve"> </w:t>
      </w:r>
      <w:r w:rsidRPr="00B767AB">
        <w:rPr>
          <w:rFonts w:ascii="Times New Roman" w:hAnsi="Times New Roman" w:cs="Times New Roman"/>
          <w:sz w:val="20"/>
          <w:szCs w:val="20"/>
          <w:lang w:val="fr-FR"/>
        </w:rPr>
        <w:t>Guillaume Longatte</w:t>
      </w:r>
      <w:r w:rsidRPr="00B767AB">
        <w:rPr>
          <w:rFonts w:ascii="Times New Roman" w:hAnsi="Times New Roman" w:cs="Times New Roman"/>
          <w:sz w:val="20"/>
          <w:szCs w:val="20"/>
          <w:vertAlign w:val="superscript"/>
          <w:lang w:val="fr-FR"/>
        </w:rPr>
        <w:t>a</w:t>
      </w:r>
      <w:r w:rsidR="00530288" w:rsidRPr="00B767AB">
        <w:rPr>
          <w:rFonts w:ascii="Times New Roman" w:hAnsi="Times New Roman" w:cs="Times New Roman"/>
          <w:sz w:val="20"/>
          <w:szCs w:val="20"/>
          <w:lang w:val="fr-FR"/>
        </w:rPr>
        <w:t xml:space="preserve">, </w:t>
      </w:r>
      <w:r w:rsidRPr="00B767AB">
        <w:rPr>
          <w:rFonts w:ascii="Times New Roman" w:hAnsi="Times New Roman" w:cs="Times New Roman"/>
          <w:sz w:val="20"/>
          <w:szCs w:val="20"/>
          <w:lang w:val="fr-FR"/>
        </w:rPr>
        <w:t>Laurent Bouff</w:t>
      </w:r>
      <w:r w:rsidR="00530288" w:rsidRPr="00B767AB">
        <w:rPr>
          <w:rFonts w:ascii="Times New Roman" w:hAnsi="Times New Roman" w:cs="Times New Roman"/>
          <w:sz w:val="20"/>
          <w:szCs w:val="20"/>
          <w:lang w:val="fr-FR"/>
        </w:rPr>
        <w:t>i</w:t>
      </w:r>
      <w:r w:rsidRPr="00B767AB">
        <w:rPr>
          <w:rFonts w:ascii="Times New Roman" w:hAnsi="Times New Roman" w:cs="Times New Roman"/>
          <w:sz w:val="20"/>
          <w:szCs w:val="20"/>
          <w:lang w:val="fr-FR"/>
        </w:rPr>
        <w:t>er</w:t>
      </w:r>
      <w:r w:rsidRPr="00B767AB">
        <w:rPr>
          <w:rFonts w:ascii="Times New Roman" w:hAnsi="Times New Roman" w:cs="Times New Roman"/>
          <w:sz w:val="20"/>
          <w:szCs w:val="20"/>
          <w:vertAlign w:val="superscript"/>
          <w:lang w:val="fr-FR"/>
        </w:rPr>
        <w:t>a*</w:t>
      </w:r>
    </w:p>
    <w:p w14:paraId="42726FBD" w14:textId="711DA136" w:rsidR="00B767AB" w:rsidRPr="00B767AB" w:rsidRDefault="00530288" w:rsidP="00B767AB">
      <w:pPr>
        <w:jc w:val="center"/>
        <w:rPr>
          <w:rFonts w:ascii="Times New Roman" w:hAnsi="Times New Roman" w:cs="Times New Roman"/>
          <w:i/>
          <w:iCs/>
          <w:sz w:val="20"/>
          <w:szCs w:val="20"/>
          <w:lang w:val="fr-FR"/>
        </w:rPr>
      </w:pPr>
      <w:r w:rsidRPr="00B767AB">
        <w:rPr>
          <w:rFonts w:ascii="Times New Roman" w:hAnsi="Times New Roman" w:cs="Times New Roman"/>
          <w:i/>
          <w:iCs/>
          <w:sz w:val="20"/>
          <w:szCs w:val="20"/>
          <w:vertAlign w:val="superscript"/>
          <w:lang w:val="fr-FR"/>
        </w:rPr>
        <w:t>a</w:t>
      </w:r>
      <w:r w:rsidRPr="00B767AB">
        <w:rPr>
          <w:rFonts w:ascii="Times New Roman" w:hAnsi="Times New Roman" w:cs="Times New Roman"/>
          <w:i/>
          <w:iCs/>
          <w:sz w:val="20"/>
          <w:szCs w:val="20"/>
          <w:lang w:val="fr-FR"/>
        </w:rPr>
        <w:t xml:space="preserve"> </w:t>
      </w:r>
      <w:r w:rsidR="00E06814" w:rsidRPr="00B767AB">
        <w:rPr>
          <w:rFonts w:ascii="Times New Roman" w:hAnsi="Times New Roman" w:cs="Times New Roman"/>
          <w:i/>
          <w:iCs/>
          <w:sz w:val="20"/>
          <w:szCs w:val="20"/>
          <w:lang w:val="fr-FR" w:eastAsia="en-US"/>
        </w:rPr>
        <w:t>ISM, UMR-5255, Univ. Bordeaux, CNRS, Bordeaux INP, F-33400 Talence, France</w:t>
      </w:r>
      <w:r w:rsidR="00E06814" w:rsidRPr="00B767AB">
        <w:rPr>
          <w:rFonts w:ascii="Times New Roman" w:hAnsi="Times New Roman" w:cs="Times New Roman"/>
          <w:i/>
          <w:iCs/>
          <w:sz w:val="20"/>
          <w:szCs w:val="20"/>
          <w:lang w:val="fr-FR"/>
        </w:rPr>
        <w:t>.</w:t>
      </w:r>
    </w:p>
    <w:p w14:paraId="76C9662D" w14:textId="72F9E7A6" w:rsidR="00317F54" w:rsidRPr="00B767AB" w:rsidRDefault="00317F54" w:rsidP="00B767AB">
      <w:pPr>
        <w:rPr>
          <w:rFonts w:ascii="Times New Roman" w:hAnsi="Times New Roman" w:cs="Times New Roman"/>
          <w:b/>
          <w:bCs/>
          <w:sz w:val="24"/>
          <w:szCs w:val="28"/>
          <w:lang w:val="fr-FR"/>
        </w:rPr>
      </w:pPr>
      <w:r w:rsidRPr="00B767AB">
        <w:rPr>
          <w:rFonts w:ascii="Times New Roman" w:hAnsi="Times New Roman" w:cs="Times New Roman"/>
          <w:b/>
          <w:bCs/>
          <w:sz w:val="24"/>
          <w:szCs w:val="28"/>
          <w:lang w:val="fr-FR"/>
        </w:rPr>
        <w:t>Abstract:</w:t>
      </w:r>
    </w:p>
    <w:p w14:paraId="1C1A29CA" w14:textId="34A5783C" w:rsidR="002A71E6" w:rsidRDefault="002A71E6" w:rsidP="00753A3F">
      <w:pPr>
        <w:rPr>
          <w:rFonts w:ascii="Times New Roman" w:hAnsi="Times New Roman" w:cs="Times New Roman"/>
          <w:sz w:val="20"/>
          <w:szCs w:val="20"/>
        </w:rPr>
      </w:pPr>
      <w:r w:rsidRPr="002A71E6">
        <w:rPr>
          <w:rFonts w:ascii="Times New Roman" w:hAnsi="Times New Roman" w:cs="Times New Roman"/>
          <w:sz w:val="20"/>
          <w:szCs w:val="20"/>
        </w:rPr>
        <w:t xml:space="preserve">Local pH gradients and diffusion-layer </w:t>
      </w:r>
      <w:r w:rsidR="0026778B">
        <w:rPr>
          <w:rFonts w:ascii="Times New Roman" w:hAnsi="Times New Roman" w:cs="Times New Roman"/>
          <w:sz w:val="20"/>
          <w:szCs w:val="20"/>
        </w:rPr>
        <w:t>thickness</w:t>
      </w:r>
      <w:r w:rsidR="0026778B" w:rsidRPr="002A71E6">
        <w:rPr>
          <w:rFonts w:ascii="Times New Roman" w:hAnsi="Times New Roman" w:cs="Times New Roman"/>
          <w:sz w:val="20"/>
          <w:szCs w:val="20"/>
        </w:rPr>
        <w:t xml:space="preserve"> </w:t>
      </w:r>
      <w:r w:rsidRPr="002A71E6">
        <w:rPr>
          <w:rFonts w:ascii="Times New Roman" w:hAnsi="Times New Roman" w:cs="Times New Roman"/>
          <w:sz w:val="20"/>
          <w:szCs w:val="20"/>
        </w:rPr>
        <w:t>near electrochemical interfaces are closely associated with proton-coupled electrochemical reactions and mass-transport processes. However, conventional electrochemical measurements mainly provide global current responses, with</w:t>
      </w:r>
      <w:r w:rsidR="0026778B">
        <w:rPr>
          <w:rFonts w:ascii="Times New Roman" w:hAnsi="Times New Roman" w:cs="Times New Roman"/>
          <w:sz w:val="20"/>
          <w:szCs w:val="20"/>
        </w:rPr>
        <w:t>out</w:t>
      </w:r>
      <w:r w:rsidRPr="002A71E6">
        <w:rPr>
          <w:rFonts w:ascii="Times New Roman" w:hAnsi="Times New Roman" w:cs="Times New Roman"/>
          <w:sz w:val="20"/>
          <w:szCs w:val="20"/>
        </w:rPr>
        <w:t xml:space="preserve"> spatial information on local interfacial processes</w:t>
      </w:r>
      <w:r w:rsidR="009728D1">
        <w:rPr>
          <w:rFonts w:ascii="Times New Roman" w:hAnsi="Times New Roman" w:cs="Times New Roman" w:hint="eastAsia"/>
          <w:sz w:val="20"/>
          <w:szCs w:val="20"/>
        </w:rPr>
        <w:t xml:space="preserve"> </w:t>
      </w:r>
      <w:sdt>
        <w:sdtPr>
          <w:rPr>
            <w:rFonts w:ascii="Times New Roman" w:hAnsi="Times New Roman" w:cs="Times New Roman"/>
            <w:color w:val="000000"/>
            <w:sz w:val="20"/>
            <w:szCs w:val="20"/>
            <w:vertAlign w:val="superscript"/>
          </w:rPr>
          <w:tag w:val="MENDELEY_CITATION_v3_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"/>
          <w:id w:val="-1391659393"/>
          <w:placeholder>
            <w:docPart w:val="DefaultPlaceholder_-1854013440"/>
          </w:placeholder>
        </w:sdtPr>
        <w:sdtContent>
          <w:r w:rsidR="00F84A66" w:rsidRPr="00F84A66">
            <w:rPr>
              <w:rFonts w:ascii="Times New Roman" w:hAnsi="Times New Roman" w:cs="Times New Roman"/>
              <w:color w:val="000000"/>
              <w:sz w:val="20"/>
              <w:szCs w:val="20"/>
              <w:vertAlign w:val="superscript"/>
            </w:rPr>
            <w:t>[1]</w:t>
          </w:r>
        </w:sdtContent>
      </w:sdt>
      <w:r w:rsidRPr="002A71E6">
        <w:rPr>
          <w:rFonts w:ascii="Times New Roman" w:hAnsi="Times New Roman" w:cs="Times New Roman"/>
          <w:sz w:val="20"/>
          <w:szCs w:val="20"/>
        </w:rPr>
        <w:t>.</w:t>
      </w:r>
    </w:p>
    <w:p w14:paraId="599CA1A9" w14:textId="5AA3DB18" w:rsidR="00B431A9" w:rsidRPr="00B431A9" w:rsidRDefault="00B431A9" w:rsidP="00753A3F">
      <w:pPr>
        <w:rPr>
          <w:rFonts w:ascii="Times New Roman" w:hAnsi="Times New Roman" w:cs="Times New Roman"/>
          <w:sz w:val="20"/>
          <w:szCs w:val="20"/>
        </w:rPr>
      </w:pPr>
      <w:r w:rsidRPr="00B431A9">
        <w:rPr>
          <w:rFonts w:ascii="Times New Roman" w:hAnsi="Times New Roman" w:cs="Times New Roman"/>
          <w:sz w:val="20"/>
          <w:szCs w:val="20"/>
        </w:rPr>
        <w:t xml:space="preserve">In this work, electrochemical control was combined with </w:t>
      </w:r>
      <w:proofErr w:type="gramStart"/>
      <w:r w:rsidRPr="00B431A9">
        <w:rPr>
          <w:rFonts w:ascii="Times New Roman" w:hAnsi="Times New Roman" w:cs="Times New Roman"/>
          <w:sz w:val="20"/>
          <w:szCs w:val="20"/>
        </w:rPr>
        <w:t>HPTS</w:t>
      </w:r>
      <w:r w:rsidR="00983BA4">
        <w:rPr>
          <w:rFonts w:ascii="Times New Roman" w:hAnsi="Times New Roman" w:cs="Times New Roman" w:hint="eastAsia"/>
          <w:sz w:val="20"/>
          <w:szCs w:val="20"/>
        </w:rPr>
        <w:t>(</w:t>
      </w:r>
      <w:proofErr w:type="gramEnd"/>
      <w:r w:rsidR="00983BA4" w:rsidRPr="00983BA4">
        <w:rPr>
          <w:rFonts w:ascii="Times New Roman" w:hAnsi="Times New Roman" w:cs="Times New Roman"/>
          <w:sz w:val="20"/>
          <w:szCs w:val="20"/>
        </w:rPr>
        <w:t>8-Hydroxypyrene-1,3,6-trisulfonic acid trisodium salt</w:t>
      </w:r>
      <w:r w:rsidR="00983BA4">
        <w:rPr>
          <w:rFonts w:ascii="Times New Roman" w:hAnsi="Times New Roman" w:cs="Times New Roman" w:hint="eastAsia"/>
          <w:sz w:val="20"/>
          <w:szCs w:val="20"/>
        </w:rPr>
        <w:t>)</w:t>
      </w:r>
      <w:r w:rsidRPr="00B431A9">
        <w:rPr>
          <w:rFonts w:ascii="Times New Roman" w:hAnsi="Times New Roman" w:cs="Times New Roman"/>
          <w:sz w:val="20"/>
          <w:szCs w:val="20"/>
        </w:rPr>
        <w:t>-assisted confocal fluorescence microscopy</w:t>
      </w:r>
      <w:r w:rsidR="008D7F89">
        <w:rPr>
          <w:rFonts w:ascii="Times New Roman" w:hAnsi="Times New Roman" w:cs="Times New Roman" w:hint="eastAsia"/>
          <w:sz w:val="20"/>
          <w:szCs w:val="20"/>
        </w:rPr>
        <w:t xml:space="preserve"> </w:t>
      </w:r>
      <w:r w:rsidR="00676B11">
        <w:rPr>
          <w:rFonts w:ascii="Times New Roman" w:hAnsi="Times New Roman" w:cs="Times New Roman" w:hint="eastAsia"/>
          <w:sz w:val="20"/>
          <w:szCs w:val="20"/>
        </w:rPr>
        <w:t>(CFM)</w:t>
      </w:r>
      <w:r w:rsidRPr="00B431A9">
        <w:rPr>
          <w:rFonts w:ascii="Times New Roman" w:hAnsi="Times New Roman" w:cs="Times New Roman"/>
          <w:sz w:val="20"/>
          <w:szCs w:val="20"/>
        </w:rPr>
        <w:t xml:space="preserve"> to visualize </w:t>
      </w:r>
      <w:proofErr w:type="gramStart"/>
      <w:r w:rsidR="0026778B">
        <w:rPr>
          <w:rFonts w:ascii="Times New Roman" w:hAnsi="Times New Roman" w:cs="Times New Roman"/>
          <w:sz w:val="20"/>
          <w:szCs w:val="20"/>
        </w:rPr>
        <w:t>electrochemically</w:t>
      </w:r>
      <w:r w:rsidRPr="00B431A9">
        <w:rPr>
          <w:rFonts w:ascii="Times New Roman" w:hAnsi="Times New Roman" w:cs="Times New Roman"/>
          <w:sz w:val="20"/>
          <w:szCs w:val="20"/>
        </w:rPr>
        <w:t>-induced</w:t>
      </w:r>
      <w:proofErr w:type="gramEnd"/>
      <w:r w:rsidRPr="00B431A9">
        <w:rPr>
          <w:rFonts w:ascii="Times New Roman" w:hAnsi="Times New Roman" w:cs="Times New Roman"/>
          <w:sz w:val="20"/>
          <w:szCs w:val="20"/>
        </w:rPr>
        <w:t xml:space="preserve"> local pH changes under operando condition</w:t>
      </w:r>
      <w:r w:rsidR="009728D1">
        <w:rPr>
          <w:rFonts w:ascii="Times New Roman" w:hAnsi="Times New Roman" w:cs="Times New Roman" w:hint="eastAsia"/>
          <w:sz w:val="20"/>
          <w:szCs w:val="20"/>
        </w:rPr>
        <w:t xml:space="preserve">s </w:t>
      </w:r>
      <w:sdt>
        <w:sdtPr>
          <w:rPr>
            <w:rFonts w:ascii="Times New Roman" w:hAnsi="Times New Roman" w:cs="Times New Roman"/>
            <w:color w:val="000000"/>
            <w:sz w:val="20"/>
            <w:szCs w:val="20"/>
            <w:vertAlign w:val="superscript"/>
          </w:rPr>
          <w:tag w:val="MENDELEY_CITATION_v3_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"/>
          <w:id w:val="1302733284"/>
          <w:placeholder>
            <w:docPart w:val="DefaultPlaceholder_-1854013440"/>
          </w:placeholder>
        </w:sdtPr>
        <w:sdtContent>
          <w:r w:rsidR="00F84A66" w:rsidRPr="00F84A66">
            <w:rPr>
              <w:rFonts w:ascii="Times New Roman" w:hAnsi="Times New Roman" w:cs="Times New Roman"/>
              <w:color w:val="000000"/>
              <w:sz w:val="20"/>
              <w:szCs w:val="20"/>
              <w:vertAlign w:val="superscript"/>
            </w:rPr>
            <w:t>[2]</w:t>
          </w:r>
        </w:sdtContent>
      </w:sdt>
      <w:r w:rsidRPr="00B431A9">
        <w:rPr>
          <w:rFonts w:ascii="Times New Roman" w:hAnsi="Times New Roman" w:cs="Times New Roman"/>
          <w:sz w:val="20"/>
          <w:szCs w:val="20"/>
        </w:rPr>
        <w:t>.</w:t>
      </w:r>
      <w:r w:rsidR="00676B11" w:rsidRPr="00676B11">
        <w:t xml:space="preserve"> </w:t>
      </w:r>
      <w:r w:rsidR="00676B11" w:rsidRPr="00676B11">
        <w:rPr>
          <w:rFonts w:ascii="Times New Roman" w:hAnsi="Times New Roman" w:cs="Times New Roman"/>
          <w:sz w:val="20"/>
          <w:szCs w:val="20"/>
        </w:rPr>
        <w:t>During benzoquinone reduction in acidic media, proton consumption increases the local pH near the electrode surface and enhances HPTS fluorescence, which can be resolved at defined focal planes by CFM</w:t>
      </w:r>
      <w:r w:rsidR="00510991" w:rsidRPr="00510991">
        <w:rPr>
          <w:rFonts w:ascii="Times New Roman" w:hAnsi="Times New Roman" w:cs="Times New Roman"/>
          <w:sz w:val="20"/>
          <w:szCs w:val="20"/>
        </w:rPr>
        <w:t>.</w:t>
      </w:r>
    </w:p>
    <w:p w14:paraId="4F5D6AB2" w14:textId="5E29CA44" w:rsidR="00317F54" w:rsidRDefault="00317F54" w:rsidP="00753A3F">
      <w:pPr>
        <w:rPr>
          <w:rFonts w:ascii="Times New Roman" w:hAnsi="Times New Roman" w:cs="Times New Roman"/>
          <w:sz w:val="20"/>
          <w:szCs w:val="20"/>
        </w:rPr>
      </w:pPr>
      <w:r w:rsidRPr="00317F54">
        <w:rPr>
          <w:rFonts w:ascii="Times New Roman" w:hAnsi="Times New Roman" w:cs="Times New Roman"/>
          <w:sz w:val="20"/>
          <w:szCs w:val="20"/>
        </w:rPr>
        <w:t xml:space="preserve">The method was validated on Au-coated flat fiber electrodes and then extended to etched </w:t>
      </w:r>
      <w:proofErr w:type="spellStart"/>
      <w:r w:rsidRPr="00317F54">
        <w:rPr>
          <w:rFonts w:ascii="Times New Roman" w:hAnsi="Times New Roman" w:cs="Times New Roman"/>
          <w:sz w:val="20"/>
          <w:szCs w:val="20"/>
        </w:rPr>
        <w:t>microstructured</w:t>
      </w:r>
      <w:proofErr w:type="spellEnd"/>
      <w:r w:rsidRPr="00317F54">
        <w:rPr>
          <w:rFonts w:ascii="Times New Roman" w:hAnsi="Times New Roman" w:cs="Times New Roman"/>
          <w:sz w:val="20"/>
          <w:szCs w:val="20"/>
        </w:rPr>
        <w:t xml:space="preserve"> fibers</w:t>
      </w:r>
      <w:r w:rsidR="009728D1">
        <w:rPr>
          <w:rFonts w:ascii="Times New Roman" w:hAnsi="Times New Roman" w:cs="Times New Roman" w:hint="eastAsia"/>
          <w:sz w:val="20"/>
          <w:szCs w:val="20"/>
        </w:rPr>
        <w:t xml:space="preserve"> </w:t>
      </w:r>
      <w:sdt>
        <w:sdtPr>
          <w:rPr>
            <w:rFonts w:ascii="Times New Roman" w:hAnsi="Times New Roman" w:cs="Times New Roman"/>
            <w:color w:val="000000"/>
            <w:sz w:val="20"/>
            <w:szCs w:val="20"/>
            <w:vertAlign w:val="superscript"/>
          </w:rPr>
          <w:tag w:val="MENDELEY_CITATION_v3_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"/>
          <w:id w:val="-1052071852"/>
          <w:placeholder>
            <w:docPart w:val="DefaultPlaceholder_-1854013440"/>
          </w:placeholder>
        </w:sdtPr>
        <w:sdtContent>
          <w:r w:rsidR="00F84A66" w:rsidRPr="00F84A66">
            <w:rPr>
              <w:rFonts w:ascii="Times New Roman" w:hAnsi="Times New Roman" w:cs="Times New Roman"/>
              <w:color w:val="000000"/>
              <w:sz w:val="20"/>
              <w:szCs w:val="20"/>
              <w:vertAlign w:val="superscript"/>
            </w:rPr>
            <w:t>[3]</w:t>
          </w:r>
        </w:sdtContent>
      </w:sdt>
      <w:r w:rsidR="002A71E6" w:rsidRPr="00317F54">
        <w:rPr>
          <w:rFonts w:ascii="Times New Roman" w:hAnsi="Times New Roman" w:cs="Times New Roman"/>
          <w:sz w:val="20"/>
          <w:szCs w:val="20"/>
        </w:rPr>
        <w:t>, where fluorescence responses at selected focal planes were correlated with local electrode geometr</w:t>
      </w:r>
      <w:r w:rsidR="002A71E6">
        <w:rPr>
          <w:rFonts w:ascii="Times New Roman" w:hAnsi="Times New Roman" w:cs="Times New Roman" w:hint="eastAsia"/>
          <w:sz w:val="20"/>
          <w:szCs w:val="20"/>
        </w:rPr>
        <w:t>y</w:t>
      </w:r>
      <w:r w:rsidRPr="00317F54">
        <w:rPr>
          <w:rFonts w:ascii="Times New Roman" w:hAnsi="Times New Roman" w:cs="Times New Roman"/>
          <w:sz w:val="20"/>
          <w:szCs w:val="20"/>
        </w:rPr>
        <w:t xml:space="preserve">. AZ1518 photoresist was further used to define micrometer-scale </w:t>
      </w:r>
      <w:r w:rsidR="0026778B">
        <w:rPr>
          <w:rFonts w:ascii="Times New Roman" w:hAnsi="Times New Roman" w:cs="Times New Roman"/>
          <w:sz w:val="20"/>
          <w:szCs w:val="20"/>
        </w:rPr>
        <w:t>access to</w:t>
      </w:r>
      <w:r w:rsidRPr="00317F54">
        <w:rPr>
          <w:rFonts w:ascii="Times New Roman" w:hAnsi="Times New Roman" w:cs="Times New Roman"/>
          <w:sz w:val="20"/>
          <w:szCs w:val="20"/>
        </w:rPr>
        <w:t xml:space="preserve"> the Au layer with controlled lateral dimensions and exposure depth, thereby confining the reaction to selected regions of the microstructure. </w:t>
      </w:r>
      <w:r w:rsidR="008D7F89" w:rsidRPr="008D7F89">
        <w:rPr>
          <w:rFonts w:ascii="Times New Roman" w:hAnsi="Times New Roman" w:cs="Times New Roman"/>
          <w:sz w:val="20"/>
          <w:szCs w:val="20"/>
        </w:rPr>
        <w:t>Localized fluorescence enhancement near these openings confirmed spatially controlled reaction zones at the micrometer scale.</w:t>
      </w:r>
    </w:p>
    <w:p w14:paraId="4A5D808D" w14:textId="77777777" w:rsidR="008D7F89" w:rsidRDefault="008D7F89" w:rsidP="00753A3F">
      <w:pPr>
        <w:rPr>
          <w:rFonts w:ascii="Times New Roman" w:hAnsi="Times New Roman" w:cs="Times New Roman"/>
          <w:sz w:val="20"/>
          <w:szCs w:val="20"/>
        </w:rPr>
      </w:pPr>
      <w:r w:rsidRPr="008D7F89">
        <w:rPr>
          <w:rFonts w:ascii="Times New Roman" w:hAnsi="Times New Roman" w:cs="Times New Roman"/>
          <w:sz w:val="20"/>
          <w:szCs w:val="20"/>
        </w:rPr>
        <w:t>Overall, this work highlights HPTS-assisted operando CFM as a useful approach for visualizing local pH gradients and probing geometry-dependent mass transport at structured electrochemical interfaces, offering a basis for further analysis of spatially confined electrochemical reactions.</w:t>
      </w:r>
    </w:p>
    <w:p w14:paraId="513ECCD8" w14:textId="052112D5" w:rsidR="00E06814" w:rsidRDefault="00E67AE9" w:rsidP="008D7F89">
      <w:pPr>
        <w:jc w:val="center"/>
        <w:rPr>
          <w:rFonts w:ascii="Arial" w:hAnsi="Arial" w:cs="Arial"/>
          <w:b/>
          <w:bCs/>
        </w:rPr>
      </w:pPr>
      <w:r>
        <w:rPr>
          <w:noProof/>
        </w:rPr>
        <w:drawing>
          <wp:inline distT="0" distB="0" distL="0" distR="0" wp14:anchorId="60DC2183" wp14:editId="3EA2A751">
            <wp:extent cx="3942614" cy="1440000"/>
            <wp:effectExtent l="0" t="0" r="1270" b="8255"/>
            <wp:docPr id="453287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28772" name=""/>
                    <pic:cNvPicPr/>
                  </pic:nvPicPr>
                  <pic:blipFill>
                    <a:blip r:embed="rId8" cstate="print">
                      <a:extLst>
                        <a:ext uri="{28A0092B-C50C-407E-A947-70E740481C1C}">
                          <a14:useLocalDpi xmlns:a14="http://schemas.microsoft.com/office/drawing/2010/main"/>
                        </a:ext>
                      </a:extLst>
                    </a:blip>
                    <a:stretch>
                      <a:fillRect/>
                    </a:stretch>
                  </pic:blipFill>
                  <pic:spPr>
                    <a:xfrm>
                      <a:off x="0" y="0"/>
                      <a:ext cx="3942614" cy="1440000"/>
                    </a:xfrm>
                    <a:prstGeom prst="rect">
                      <a:avLst/>
                    </a:prstGeom>
                  </pic:spPr>
                </pic:pic>
              </a:graphicData>
            </a:graphic>
          </wp:inline>
        </w:drawing>
      </w:r>
    </w:p>
    <w:p w14:paraId="74380CBC" w14:textId="345B5596" w:rsidR="00E322C0" w:rsidRDefault="00E322C0" w:rsidP="00B767AB">
      <w:pPr>
        <w:contextualSpacing/>
        <w:jc w:val="center"/>
        <w:rPr>
          <w:rFonts w:ascii="Arial" w:hAnsi="Arial" w:cs="Arial"/>
          <w:b/>
          <w:bCs/>
          <w:sz w:val="13"/>
          <w:szCs w:val="13"/>
        </w:rPr>
      </w:pPr>
      <w:r w:rsidRPr="00E322C0">
        <w:rPr>
          <w:rFonts w:ascii="Arial" w:hAnsi="Arial" w:cs="Arial"/>
          <w:b/>
          <w:bCs/>
          <w:sz w:val="13"/>
          <w:szCs w:val="13"/>
        </w:rPr>
        <w:t xml:space="preserve">a) Schematic of the HPTS-assisted imaging configuration on a photoresist-confined Au-coated </w:t>
      </w:r>
      <w:proofErr w:type="spellStart"/>
      <w:r w:rsidRPr="00E322C0">
        <w:rPr>
          <w:rFonts w:ascii="Arial" w:hAnsi="Arial" w:cs="Arial"/>
          <w:b/>
          <w:bCs/>
          <w:sz w:val="13"/>
          <w:szCs w:val="13"/>
        </w:rPr>
        <w:t>microstructured</w:t>
      </w:r>
      <w:proofErr w:type="spellEnd"/>
      <w:r w:rsidRPr="00E322C0">
        <w:rPr>
          <w:rFonts w:ascii="Arial" w:hAnsi="Arial" w:cs="Arial"/>
          <w:b/>
          <w:bCs/>
          <w:sz w:val="13"/>
          <w:szCs w:val="13"/>
        </w:rPr>
        <w:t xml:space="preserve"> fiber electrode.</w:t>
      </w:r>
      <w:r>
        <w:rPr>
          <w:rFonts w:ascii="Arial" w:hAnsi="Arial" w:cs="Arial" w:hint="eastAsia"/>
          <w:b/>
          <w:bCs/>
          <w:sz w:val="13"/>
          <w:szCs w:val="13"/>
        </w:rPr>
        <w:t xml:space="preserve"> </w:t>
      </w:r>
      <w:r w:rsidRPr="00E322C0">
        <w:rPr>
          <w:rFonts w:ascii="Arial" w:hAnsi="Arial" w:cs="Arial"/>
          <w:b/>
          <w:bCs/>
          <w:sz w:val="13"/>
          <w:szCs w:val="13"/>
        </w:rPr>
        <w:t xml:space="preserve">b) Representative SEM images and CFM z-stack x–z reconstructions of the corresponding </w:t>
      </w:r>
      <w:proofErr w:type="spellStart"/>
      <w:r w:rsidRPr="00E322C0">
        <w:rPr>
          <w:rFonts w:ascii="Arial" w:hAnsi="Arial" w:cs="Arial"/>
          <w:b/>
          <w:bCs/>
          <w:sz w:val="13"/>
          <w:szCs w:val="13"/>
        </w:rPr>
        <w:t>microstructured</w:t>
      </w:r>
      <w:proofErr w:type="spellEnd"/>
      <w:r w:rsidRPr="00E322C0">
        <w:rPr>
          <w:rFonts w:ascii="Arial" w:hAnsi="Arial" w:cs="Arial"/>
          <w:b/>
          <w:bCs/>
          <w:sz w:val="13"/>
          <w:szCs w:val="13"/>
        </w:rPr>
        <w:t xml:space="preserve"> fiber electrode.</w:t>
      </w:r>
    </w:p>
    <w:p w14:paraId="58688D20" w14:textId="2322D88E" w:rsidR="00317F54" w:rsidRPr="005E0619" w:rsidRDefault="00317F54" w:rsidP="00B767AB">
      <w:pPr>
        <w:rPr>
          <w:rFonts w:ascii="Times New Roman" w:hAnsi="Times New Roman" w:cs="Times New Roman"/>
          <w:b/>
          <w:bCs/>
          <w:sz w:val="24"/>
          <w:szCs w:val="28"/>
        </w:rPr>
      </w:pPr>
      <w:r w:rsidRPr="005E0619">
        <w:rPr>
          <w:rFonts w:ascii="Times New Roman" w:hAnsi="Times New Roman" w:cs="Times New Roman"/>
          <w:b/>
          <w:bCs/>
          <w:sz w:val="24"/>
          <w:szCs w:val="28"/>
        </w:rPr>
        <w:t>Reference</w:t>
      </w:r>
      <w:r w:rsidR="002A71E6" w:rsidRPr="005E0619">
        <w:rPr>
          <w:rFonts w:ascii="Times New Roman" w:hAnsi="Times New Roman" w:cs="Times New Roman"/>
          <w:b/>
          <w:bCs/>
          <w:sz w:val="24"/>
          <w:szCs w:val="28"/>
        </w:rPr>
        <w:t>s</w:t>
      </w:r>
      <w:r w:rsidR="005E0619" w:rsidRPr="005E0619">
        <w:rPr>
          <w:rFonts w:ascii="Times New Roman" w:hAnsi="Times New Roman" w:cs="Times New Roman" w:hint="eastAsia"/>
          <w:b/>
          <w:bCs/>
          <w:sz w:val="24"/>
          <w:szCs w:val="28"/>
        </w:rPr>
        <w:t>:</w:t>
      </w:r>
    </w:p>
    <w:sdt>
      <w:sdtPr>
        <w:rPr>
          <w:rFonts w:ascii="Times New Roman" w:hAnsi="Times New Roman" w:cs="Times New Roman" w:hint="eastAsia"/>
          <w:b/>
          <w:bCs/>
          <w:color w:val="000000"/>
          <w:sz w:val="16"/>
          <w:szCs w:val="13"/>
        </w:rPr>
        <w:tag w:val="MENDELEY_BIBLIOGRAPHY"/>
        <w:id w:val="-805699903"/>
        <w:placeholder>
          <w:docPart w:val="DefaultPlaceholder_-1854013440"/>
        </w:placeholder>
      </w:sdtPr>
      <w:sdtContent>
        <w:p w14:paraId="1A4A27D8" w14:textId="29E756F2" w:rsidR="002A71E6" w:rsidRPr="00656D48" w:rsidRDefault="002A71E6" w:rsidP="00656D48">
          <w:pPr>
            <w:widowControl/>
            <w:autoSpaceDE w:val="0"/>
            <w:autoSpaceDN w:val="0"/>
            <w:ind w:left="-96" w:hanging="641"/>
            <w:divId w:val="1793787881"/>
            <w:rPr>
              <w:rFonts w:ascii="Times New Roman" w:hAnsi="Times New Roman" w:cs="Times New Roman"/>
              <w:color w:val="000000"/>
              <w:sz w:val="14"/>
              <w:szCs w:val="14"/>
            </w:rPr>
          </w:pPr>
          <w:r w:rsidRPr="002A71E6">
            <w:rPr>
              <w:rFonts w:ascii="Times New Roman" w:hAnsi="Times New Roman" w:cs="Times New Roman"/>
              <w:color w:val="000000"/>
              <w:sz w:val="16"/>
            </w:rPr>
            <w:t>[1]</w:t>
          </w:r>
          <w:r w:rsidRPr="00B767AB">
            <w:rPr>
              <w:rFonts w:ascii="Times New Roman" w:hAnsi="Times New Roman" w:cs="Times New Roman"/>
              <w:color w:val="000000"/>
              <w:sz w:val="11"/>
              <w:szCs w:val="18"/>
            </w:rPr>
            <w:tab/>
          </w:r>
          <w:r w:rsidRPr="00B767AB">
            <w:rPr>
              <w:rFonts w:ascii="Times New Roman" w:hAnsi="Times New Roman" w:cs="Times New Roman"/>
              <w:color w:val="000000"/>
              <w:sz w:val="14"/>
              <w:szCs w:val="14"/>
            </w:rPr>
            <w:t>L</w:t>
          </w:r>
          <w:r w:rsidRPr="00656D48">
            <w:rPr>
              <w:rFonts w:ascii="Times New Roman" w:hAnsi="Times New Roman" w:cs="Times New Roman"/>
              <w:color w:val="000000"/>
              <w:sz w:val="14"/>
              <w:szCs w:val="14"/>
            </w:rPr>
            <w:t>. Bouffier, T. Doneux,</w:t>
          </w:r>
          <w:r w:rsidRPr="00656D48">
            <w:rPr>
              <w:sz w:val="14"/>
              <w:szCs w:val="14"/>
            </w:rPr>
            <w:t xml:space="preserve"> </w:t>
          </w:r>
          <w:r w:rsidRPr="00656D48">
            <w:rPr>
              <w:rFonts w:ascii="Times New Roman" w:hAnsi="Times New Roman" w:cs="Times New Roman"/>
              <w:color w:val="000000"/>
              <w:sz w:val="14"/>
              <w:szCs w:val="14"/>
            </w:rPr>
            <w:t xml:space="preserve">Coupling electrochemistry </w:t>
          </w:r>
          <w:proofErr w:type="gramStart"/>
          <w:r w:rsidRPr="00656D48">
            <w:rPr>
              <w:rFonts w:ascii="Times New Roman" w:hAnsi="Times New Roman" w:cs="Times New Roman"/>
              <w:color w:val="000000"/>
              <w:sz w:val="14"/>
              <w:szCs w:val="14"/>
            </w:rPr>
            <w:t>with in</w:t>
          </w:r>
          <w:proofErr w:type="gramEnd"/>
          <w:r w:rsidRPr="00656D48">
            <w:rPr>
              <w:rFonts w:ascii="Times New Roman" w:hAnsi="Times New Roman" w:cs="Times New Roman"/>
              <w:color w:val="000000"/>
              <w:sz w:val="14"/>
              <w:szCs w:val="14"/>
            </w:rPr>
            <w:t xml:space="preserve"> situ fluorescence (confocal) microscopy, </w:t>
          </w:r>
          <w:r w:rsidRPr="00656D48">
            <w:rPr>
              <w:rFonts w:ascii="Times New Roman" w:hAnsi="Times New Roman" w:cs="Times New Roman"/>
              <w:i/>
              <w:iCs/>
              <w:color w:val="000000"/>
              <w:sz w:val="14"/>
              <w:szCs w:val="14"/>
            </w:rPr>
            <w:t>Current Opinion in Electrochemistry</w:t>
          </w:r>
          <w:r w:rsidRPr="00656D48">
            <w:rPr>
              <w:rFonts w:ascii="Times New Roman" w:hAnsi="Times New Roman" w:cs="Times New Roman"/>
              <w:color w:val="000000"/>
              <w:sz w:val="14"/>
              <w:szCs w:val="14"/>
            </w:rPr>
            <w:t xml:space="preserve"> </w:t>
          </w:r>
          <w:r w:rsidRPr="00656D48">
            <w:rPr>
              <w:rFonts w:ascii="Times New Roman" w:hAnsi="Times New Roman" w:cs="Times New Roman"/>
              <w:b/>
              <w:bCs/>
              <w:color w:val="000000"/>
              <w:sz w:val="14"/>
              <w:szCs w:val="14"/>
            </w:rPr>
            <w:t>2017</w:t>
          </w:r>
          <w:r w:rsidRPr="00656D48">
            <w:rPr>
              <w:rFonts w:ascii="Times New Roman" w:hAnsi="Times New Roman" w:cs="Times New Roman"/>
              <w:color w:val="000000"/>
              <w:sz w:val="14"/>
              <w:szCs w:val="14"/>
            </w:rPr>
            <w:t xml:space="preserve">, </w:t>
          </w:r>
          <w:r w:rsidRPr="00656D48">
            <w:rPr>
              <w:rFonts w:ascii="Times New Roman" w:hAnsi="Times New Roman" w:cs="Times New Roman"/>
              <w:i/>
              <w:iCs/>
              <w:color w:val="000000"/>
              <w:sz w:val="14"/>
              <w:szCs w:val="14"/>
            </w:rPr>
            <w:t>6</w:t>
          </w:r>
          <w:r w:rsidRPr="00656D48">
            <w:rPr>
              <w:rFonts w:ascii="Times New Roman" w:hAnsi="Times New Roman" w:cs="Times New Roman"/>
              <w:color w:val="000000"/>
              <w:sz w:val="14"/>
              <w:szCs w:val="14"/>
            </w:rPr>
            <w:t xml:space="preserve">, 31–37. </w:t>
          </w:r>
        </w:p>
        <w:p w14:paraId="45E1255F" w14:textId="62B6CFAE" w:rsidR="002A71E6" w:rsidRPr="00656D48" w:rsidRDefault="002A71E6" w:rsidP="00656D48">
          <w:pPr>
            <w:widowControl/>
            <w:autoSpaceDE w:val="0"/>
            <w:autoSpaceDN w:val="0"/>
            <w:ind w:left="-96" w:hanging="641"/>
            <w:divId w:val="1793787881"/>
            <w:rPr>
              <w:rFonts w:ascii="Times New Roman" w:hAnsi="Times New Roman" w:cs="Times New Roman"/>
              <w:color w:val="000000"/>
              <w:sz w:val="14"/>
              <w:szCs w:val="14"/>
            </w:rPr>
          </w:pPr>
          <w:r w:rsidRPr="00656D48">
            <w:rPr>
              <w:rFonts w:ascii="Times New Roman" w:hAnsi="Times New Roman" w:cs="Times New Roman"/>
              <w:color w:val="000000"/>
              <w:sz w:val="14"/>
              <w:szCs w:val="14"/>
            </w:rPr>
            <w:t>[2]</w:t>
          </w:r>
          <w:r w:rsidRPr="00656D48">
            <w:rPr>
              <w:rFonts w:ascii="Times New Roman" w:hAnsi="Times New Roman" w:cs="Times New Roman"/>
              <w:color w:val="000000"/>
              <w:sz w:val="14"/>
              <w:szCs w:val="14"/>
            </w:rPr>
            <w:tab/>
            <w:t xml:space="preserve">R. N. Andrews, C. J. Seliskar, W. R. Heineman, “Electrochemical and optical behavior of 8-Hydroxypyrene-1,3,6-trisulfonic acid at optically transparent electrodes” </w:t>
          </w:r>
          <w:r w:rsidRPr="00656D48">
            <w:rPr>
              <w:rFonts w:ascii="Times New Roman" w:hAnsi="Times New Roman" w:cs="Times New Roman"/>
              <w:i/>
              <w:iCs/>
              <w:color w:val="000000"/>
              <w:sz w:val="14"/>
              <w:szCs w:val="14"/>
            </w:rPr>
            <w:t>Electroanalysis</w:t>
          </w:r>
          <w:r w:rsidRPr="00656D48">
            <w:rPr>
              <w:rFonts w:ascii="Times New Roman" w:hAnsi="Times New Roman" w:cs="Times New Roman"/>
              <w:color w:val="000000"/>
              <w:sz w:val="14"/>
              <w:szCs w:val="14"/>
            </w:rPr>
            <w:t xml:space="preserve"> </w:t>
          </w:r>
          <w:r w:rsidRPr="00656D48">
            <w:rPr>
              <w:rFonts w:ascii="Times New Roman" w:hAnsi="Times New Roman" w:cs="Times New Roman"/>
              <w:b/>
              <w:bCs/>
              <w:color w:val="000000"/>
              <w:sz w:val="14"/>
              <w:szCs w:val="14"/>
            </w:rPr>
            <w:t>2010</w:t>
          </w:r>
          <w:r w:rsidRPr="00656D48">
            <w:rPr>
              <w:rFonts w:ascii="Times New Roman" w:hAnsi="Times New Roman" w:cs="Times New Roman"/>
              <w:color w:val="000000"/>
              <w:sz w:val="14"/>
              <w:szCs w:val="14"/>
            </w:rPr>
            <w:t xml:space="preserve">, </w:t>
          </w:r>
          <w:r w:rsidRPr="00656D48">
            <w:rPr>
              <w:rFonts w:ascii="Times New Roman" w:hAnsi="Times New Roman" w:cs="Times New Roman"/>
              <w:i/>
              <w:iCs/>
              <w:color w:val="000000"/>
              <w:sz w:val="14"/>
              <w:szCs w:val="14"/>
            </w:rPr>
            <w:t>22</w:t>
          </w:r>
          <w:r w:rsidRPr="00656D48">
            <w:rPr>
              <w:rFonts w:ascii="Times New Roman" w:hAnsi="Times New Roman" w:cs="Times New Roman"/>
              <w:color w:val="000000"/>
              <w:sz w:val="14"/>
              <w:szCs w:val="14"/>
            </w:rPr>
            <w:t>, 1557–1565.</w:t>
          </w:r>
        </w:p>
        <w:p w14:paraId="69638194" w14:textId="01645308" w:rsidR="002A71E6" w:rsidRPr="00656D48" w:rsidRDefault="002A71E6" w:rsidP="00656D48">
          <w:pPr>
            <w:autoSpaceDE w:val="0"/>
            <w:autoSpaceDN w:val="0"/>
            <w:ind w:left="-96" w:hanging="641"/>
            <w:divId w:val="1642802603"/>
            <w:rPr>
              <w:rFonts w:ascii="Times New Roman" w:hAnsi="Times New Roman" w:cs="Times New Roman"/>
              <w:color w:val="000000"/>
              <w:sz w:val="14"/>
              <w:szCs w:val="14"/>
            </w:rPr>
          </w:pPr>
          <w:r w:rsidRPr="00656D48">
            <w:rPr>
              <w:rFonts w:ascii="Times New Roman" w:hAnsi="Times New Roman" w:cs="Times New Roman"/>
              <w:color w:val="000000"/>
              <w:sz w:val="14"/>
              <w:szCs w:val="14"/>
            </w:rPr>
            <w:t>[3]</w:t>
          </w:r>
          <w:r w:rsidRPr="00656D48">
            <w:rPr>
              <w:rFonts w:ascii="Times New Roman" w:hAnsi="Times New Roman" w:cs="Times New Roman"/>
              <w:color w:val="000000"/>
              <w:sz w:val="14"/>
              <w:szCs w:val="14"/>
            </w:rPr>
            <w:tab/>
            <w:t xml:space="preserve">T. </w:t>
          </w:r>
          <w:proofErr w:type="spellStart"/>
          <w:r w:rsidRPr="00656D48">
            <w:rPr>
              <w:rFonts w:ascii="Times New Roman" w:hAnsi="Times New Roman" w:cs="Times New Roman"/>
              <w:color w:val="000000"/>
              <w:sz w:val="14"/>
              <w:szCs w:val="14"/>
            </w:rPr>
            <w:t>Bombail</w:t>
          </w:r>
          <w:proofErr w:type="spellEnd"/>
          <w:r w:rsidRPr="00656D48">
            <w:rPr>
              <w:rFonts w:ascii="Times New Roman" w:hAnsi="Times New Roman" w:cs="Times New Roman"/>
              <w:color w:val="000000"/>
              <w:sz w:val="14"/>
              <w:szCs w:val="14"/>
            </w:rPr>
            <w:t xml:space="preserve">, P. Garrigue, B. Goudeau, D. Talaga, L. Bouffier, S. Bonhommeau, L. Servant, D. </w:t>
          </w:r>
          <w:proofErr w:type="spellStart"/>
          <w:r w:rsidRPr="00656D48">
            <w:rPr>
              <w:rFonts w:ascii="Times New Roman" w:hAnsi="Times New Roman" w:cs="Times New Roman"/>
              <w:color w:val="000000"/>
              <w:sz w:val="14"/>
              <w:szCs w:val="14"/>
            </w:rPr>
            <w:t>Zigah</w:t>
          </w:r>
          <w:proofErr w:type="spellEnd"/>
          <w:r w:rsidRPr="00656D48">
            <w:rPr>
              <w:rFonts w:ascii="Times New Roman" w:hAnsi="Times New Roman" w:cs="Times New Roman"/>
              <w:color w:val="000000"/>
              <w:sz w:val="14"/>
              <w:szCs w:val="14"/>
            </w:rPr>
            <w:t xml:space="preserve">, S. </w:t>
          </w:r>
          <w:proofErr w:type="spellStart"/>
          <w:r w:rsidRPr="00656D48">
            <w:rPr>
              <w:rFonts w:ascii="Times New Roman" w:hAnsi="Times New Roman" w:cs="Times New Roman"/>
              <w:color w:val="000000"/>
              <w:sz w:val="14"/>
              <w:szCs w:val="14"/>
            </w:rPr>
            <w:t>Arbault</w:t>
          </w:r>
          <w:proofErr w:type="spellEnd"/>
          <w:r w:rsidRPr="00656D48">
            <w:rPr>
              <w:rFonts w:ascii="Times New Roman" w:hAnsi="Times New Roman" w:cs="Times New Roman"/>
              <w:color w:val="000000"/>
              <w:sz w:val="14"/>
              <w:szCs w:val="14"/>
            </w:rPr>
            <w:t xml:space="preserve">, N. </w:t>
          </w:r>
          <w:proofErr w:type="spellStart"/>
          <w:r w:rsidRPr="00656D48">
            <w:rPr>
              <w:rFonts w:ascii="Times New Roman" w:hAnsi="Times New Roman" w:cs="Times New Roman"/>
              <w:color w:val="000000"/>
              <w:sz w:val="14"/>
              <w:szCs w:val="14"/>
            </w:rPr>
            <w:t>Sojic</w:t>
          </w:r>
          <w:proofErr w:type="spellEnd"/>
          <w:r w:rsidRPr="00656D48">
            <w:rPr>
              <w:rFonts w:ascii="Times New Roman" w:hAnsi="Times New Roman" w:cs="Times New Roman"/>
              <w:color w:val="000000"/>
              <w:sz w:val="14"/>
              <w:szCs w:val="14"/>
            </w:rPr>
            <w:t xml:space="preserve">, “Dual microelectrodes decorated with nanotip arrays: Fabrication, characterization and </w:t>
          </w:r>
          <w:proofErr w:type="spellStart"/>
          <w:r w:rsidRPr="00656D48">
            <w:rPr>
              <w:rFonts w:ascii="Times New Roman" w:hAnsi="Times New Roman" w:cs="Times New Roman"/>
              <w:color w:val="000000"/>
              <w:sz w:val="14"/>
              <w:szCs w:val="14"/>
            </w:rPr>
            <w:t>spectroelectrochemical</w:t>
          </w:r>
          <w:proofErr w:type="spellEnd"/>
          <w:r w:rsidRPr="00656D48">
            <w:rPr>
              <w:rFonts w:ascii="Times New Roman" w:hAnsi="Times New Roman" w:cs="Times New Roman"/>
              <w:color w:val="000000"/>
              <w:sz w:val="14"/>
              <w:szCs w:val="14"/>
            </w:rPr>
            <w:t xml:space="preserve"> sensing,” </w:t>
          </w:r>
          <w:proofErr w:type="spellStart"/>
          <w:r w:rsidRPr="00656D48">
            <w:rPr>
              <w:rFonts w:ascii="Times New Roman" w:hAnsi="Times New Roman" w:cs="Times New Roman"/>
              <w:i/>
              <w:iCs/>
              <w:color w:val="000000"/>
              <w:sz w:val="14"/>
              <w:szCs w:val="14"/>
            </w:rPr>
            <w:t>Electrochimica</w:t>
          </w:r>
          <w:proofErr w:type="spellEnd"/>
          <w:r w:rsidRPr="00656D48">
            <w:rPr>
              <w:rFonts w:ascii="Times New Roman" w:hAnsi="Times New Roman" w:cs="Times New Roman"/>
              <w:i/>
              <w:iCs/>
              <w:color w:val="000000"/>
              <w:sz w:val="14"/>
              <w:szCs w:val="14"/>
            </w:rPr>
            <w:t xml:space="preserve"> Acta</w:t>
          </w:r>
          <w:r w:rsidRPr="00656D48">
            <w:rPr>
              <w:rFonts w:ascii="Times New Roman" w:hAnsi="Times New Roman" w:cs="Times New Roman"/>
              <w:color w:val="000000"/>
              <w:sz w:val="14"/>
              <w:szCs w:val="14"/>
            </w:rPr>
            <w:t xml:space="preserve"> </w:t>
          </w:r>
          <w:r w:rsidRPr="00656D48">
            <w:rPr>
              <w:rFonts w:ascii="Times New Roman" w:hAnsi="Times New Roman" w:cs="Times New Roman"/>
              <w:b/>
              <w:bCs/>
              <w:color w:val="000000"/>
              <w:sz w:val="14"/>
              <w:szCs w:val="14"/>
            </w:rPr>
            <w:t>2019</w:t>
          </w:r>
          <w:r w:rsidRPr="00656D48">
            <w:rPr>
              <w:rFonts w:ascii="Times New Roman" w:hAnsi="Times New Roman" w:cs="Times New Roman"/>
              <w:color w:val="000000"/>
              <w:sz w:val="14"/>
              <w:szCs w:val="14"/>
            </w:rPr>
            <w:t xml:space="preserve">, </w:t>
          </w:r>
          <w:r w:rsidRPr="00656D48">
            <w:rPr>
              <w:rFonts w:ascii="Times New Roman" w:hAnsi="Times New Roman" w:cs="Times New Roman"/>
              <w:i/>
              <w:iCs/>
              <w:color w:val="000000"/>
              <w:sz w:val="14"/>
              <w:szCs w:val="14"/>
            </w:rPr>
            <w:t>328, 135105</w:t>
          </w:r>
          <w:r w:rsidRPr="00656D48">
            <w:rPr>
              <w:rFonts w:ascii="Times New Roman" w:hAnsi="Times New Roman" w:cs="Times New Roman" w:hint="eastAsia"/>
              <w:i/>
              <w:iCs/>
              <w:color w:val="000000"/>
              <w:sz w:val="14"/>
              <w:szCs w:val="14"/>
            </w:rPr>
            <w:t>.</w:t>
          </w:r>
        </w:p>
        <w:p w14:paraId="653A4877" w14:textId="6AB9F33F" w:rsidR="00317F54" w:rsidRPr="00317F54" w:rsidRDefault="00000000" w:rsidP="005E0619">
          <w:pPr>
            <w:contextualSpacing/>
            <w:rPr>
              <w:rFonts w:ascii="Arial" w:hAnsi="Arial" w:cs="Arial"/>
              <w:b/>
              <w:bCs/>
              <w:sz w:val="13"/>
              <w:szCs w:val="13"/>
            </w:rPr>
          </w:pPr>
        </w:p>
      </w:sdtContent>
    </w:sdt>
    <w:sectPr w:rsidR="00317F54" w:rsidRPr="00317F54" w:rsidSect="005E0619">
      <w:pgSz w:w="11906" w:h="16838"/>
      <w:pgMar w:top="1701" w:right="1701" w:bottom="1701"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15E0D" w14:textId="77777777" w:rsidR="00195D4E" w:rsidRDefault="00195D4E" w:rsidP="00F14B66">
      <w:pPr>
        <w:rPr>
          <w:rFonts w:hint="eastAsia"/>
        </w:rPr>
      </w:pPr>
      <w:r>
        <w:separator/>
      </w:r>
    </w:p>
  </w:endnote>
  <w:endnote w:type="continuationSeparator" w:id="0">
    <w:p w14:paraId="31927856" w14:textId="77777777" w:rsidR="00195D4E" w:rsidRDefault="00195D4E" w:rsidP="00F14B6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81445" w14:textId="77777777" w:rsidR="00195D4E" w:rsidRDefault="00195D4E" w:rsidP="00F14B66">
      <w:pPr>
        <w:rPr>
          <w:rFonts w:hint="eastAsia"/>
        </w:rPr>
      </w:pPr>
      <w:r>
        <w:separator/>
      </w:r>
    </w:p>
  </w:footnote>
  <w:footnote w:type="continuationSeparator" w:id="0">
    <w:p w14:paraId="28917DD6" w14:textId="77777777" w:rsidR="00195D4E" w:rsidRDefault="00195D4E" w:rsidP="00F14B6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A454A"/>
    <w:multiLevelType w:val="hybridMultilevel"/>
    <w:tmpl w:val="07C0C80E"/>
    <w:lvl w:ilvl="0" w:tplc="887676B2">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389B4F10"/>
    <w:multiLevelType w:val="hybridMultilevel"/>
    <w:tmpl w:val="20EAF9B6"/>
    <w:lvl w:ilvl="0" w:tplc="2B90B5E2">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84C55F0"/>
    <w:multiLevelType w:val="hybridMultilevel"/>
    <w:tmpl w:val="60C0300A"/>
    <w:lvl w:ilvl="0" w:tplc="F330057A">
      <w:start w:val="1"/>
      <w:numFmt w:val="lowerLetter"/>
      <w:lvlText w:val="%1)"/>
      <w:lvlJc w:val="left"/>
      <w:pPr>
        <w:ind w:left="360" w:hanging="360"/>
      </w:pPr>
      <w:rPr>
        <w:rFonts w:ascii="Calibri" w:hAnsi="Calibri" w:cs="Times New Roman" w:hint="default"/>
        <w:b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019848100">
    <w:abstractNumId w:val="0"/>
  </w:num>
  <w:num w:numId="2" w16cid:durableId="529729728">
    <w:abstractNumId w:val="1"/>
  </w:num>
  <w:num w:numId="3" w16cid:durableId="1231605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proofState w:spelling="clean" w:grammar="clean"/>
  <w:defaultTabStop w:val="420"/>
  <w:autoHyphenation/>
  <w:hyphenationZone w:val="42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C2E"/>
    <w:rsid w:val="000155A2"/>
    <w:rsid w:val="00065C2E"/>
    <w:rsid w:val="000844B6"/>
    <w:rsid w:val="00145651"/>
    <w:rsid w:val="00181A9E"/>
    <w:rsid w:val="00195D4E"/>
    <w:rsid w:val="00250F53"/>
    <w:rsid w:val="0026778B"/>
    <w:rsid w:val="002A71E6"/>
    <w:rsid w:val="002C2933"/>
    <w:rsid w:val="002D6322"/>
    <w:rsid w:val="00317F54"/>
    <w:rsid w:val="00374045"/>
    <w:rsid w:val="003D15F9"/>
    <w:rsid w:val="003D3309"/>
    <w:rsid w:val="004910D8"/>
    <w:rsid w:val="004E1A9D"/>
    <w:rsid w:val="00510991"/>
    <w:rsid w:val="00526FAE"/>
    <w:rsid w:val="00530288"/>
    <w:rsid w:val="005C6D88"/>
    <w:rsid w:val="005D7B77"/>
    <w:rsid w:val="005E0619"/>
    <w:rsid w:val="005F5925"/>
    <w:rsid w:val="00656D48"/>
    <w:rsid w:val="00676B11"/>
    <w:rsid w:val="006C7BBC"/>
    <w:rsid w:val="00753A3F"/>
    <w:rsid w:val="007B257D"/>
    <w:rsid w:val="007B7784"/>
    <w:rsid w:val="00833A25"/>
    <w:rsid w:val="008C7E86"/>
    <w:rsid w:val="008D7F89"/>
    <w:rsid w:val="009000C6"/>
    <w:rsid w:val="009728D1"/>
    <w:rsid w:val="00983BA4"/>
    <w:rsid w:val="009868E3"/>
    <w:rsid w:val="009E60E8"/>
    <w:rsid w:val="00A0664C"/>
    <w:rsid w:val="00B431A9"/>
    <w:rsid w:val="00B767AB"/>
    <w:rsid w:val="00BD6B8B"/>
    <w:rsid w:val="00C7691E"/>
    <w:rsid w:val="00D66066"/>
    <w:rsid w:val="00DA489D"/>
    <w:rsid w:val="00DC2862"/>
    <w:rsid w:val="00E05226"/>
    <w:rsid w:val="00E06814"/>
    <w:rsid w:val="00E322C0"/>
    <w:rsid w:val="00E33D3F"/>
    <w:rsid w:val="00E67AE9"/>
    <w:rsid w:val="00F06584"/>
    <w:rsid w:val="00F11778"/>
    <w:rsid w:val="00F14B66"/>
    <w:rsid w:val="00F33570"/>
    <w:rsid w:val="00F84A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08A799"/>
  <w15:chartTrackingRefBased/>
  <w15:docId w15:val="{373DEB98-3619-475C-A043-C70A7A53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65C2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65C2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65C2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65C2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65C2E"/>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065C2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65C2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65C2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65C2E"/>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65C2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65C2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65C2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65C2E"/>
    <w:rPr>
      <w:rFonts w:cstheme="majorBidi"/>
      <w:color w:val="0F4761" w:themeColor="accent1" w:themeShade="BF"/>
      <w:sz w:val="28"/>
      <w:szCs w:val="28"/>
    </w:rPr>
  </w:style>
  <w:style w:type="character" w:customStyle="1" w:styleId="50">
    <w:name w:val="标题 5 字符"/>
    <w:basedOn w:val="a0"/>
    <w:link w:val="5"/>
    <w:uiPriority w:val="9"/>
    <w:semiHidden/>
    <w:rsid w:val="00065C2E"/>
    <w:rPr>
      <w:rFonts w:cstheme="majorBidi"/>
      <w:color w:val="0F4761" w:themeColor="accent1" w:themeShade="BF"/>
      <w:sz w:val="24"/>
      <w:szCs w:val="24"/>
    </w:rPr>
  </w:style>
  <w:style w:type="character" w:customStyle="1" w:styleId="60">
    <w:name w:val="标题 6 字符"/>
    <w:basedOn w:val="a0"/>
    <w:link w:val="6"/>
    <w:uiPriority w:val="9"/>
    <w:semiHidden/>
    <w:rsid w:val="00065C2E"/>
    <w:rPr>
      <w:rFonts w:cstheme="majorBidi"/>
      <w:b/>
      <w:bCs/>
      <w:color w:val="0F4761" w:themeColor="accent1" w:themeShade="BF"/>
    </w:rPr>
  </w:style>
  <w:style w:type="character" w:customStyle="1" w:styleId="70">
    <w:name w:val="标题 7 字符"/>
    <w:basedOn w:val="a0"/>
    <w:link w:val="7"/>
    <w:uiPriority w:val="9"/>
    <w:semiHidden/>
    <w:rsid w:val="00065C2E"/>
    <w:rPr>
      <w:rFonts w:cstheme="majorBidi"/>
      <w:b/>
      <w:bCs/>
      <w:color w:val="595959" w:themeColor="text1" w:themeTint="A6"/>
    </w:rPr>
  </w:style>
  <w:style w:type="character" w:customStyle="1" w:styleId="80">
    <w:name w:val="标题 8 字符"/>
    <w:basedOn w:val="a0"/>
    <w:link w:val="8"/>
    <w:uiPriority w:val="9"/>
    <w:semiHidden/>
    <w:rsid w:val="00065C2E"/>
    <w:rPr>
      <w:rFonts w:cstheme="majorBidi"/>
      <w:color w:val="595959" w:themeColor="text1" w:themeTint="A6"/>
    </w:rPr>
  </w:style>
  <w:style w:type="character" w:customStyle="1" w:styleId="90">
    <w:name w:val="标题 9 字符"/>
    <w:basedOn w:val="a0"/>
    <w:link w:val="9"/>
    <w:uiPriority w:val="9"/>
    <w:semiHidden/>
    <w:rsid w:val="00065C2E"/>
    <w:rPr>
      <w:rFonts w:eastAsiaTheme="majorEastAsia" w:cstheme="majorBidi"/>
      <w:color w:val="595959" w:themeColor="text1" w:themeTint="A6"/>
    </w:rPr>
  </w:style>
  <w:style w:type="paragraph" w:styleId="a3">
    <w:name w:val="Title"/>
    <w:basedOn w:val="a"/>
    <w:next w:val="a"/>
    <w:link w:val="a4"/>
    <w:uiPriority w:val="10"/>
    <w:qFormat/>
    <w:rsid w:val="00065C2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65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5C2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65C2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65C2E"/>
    <w:pPr>
      <w:spacing w:before="160" w:after="160"/>
      <w:jc w:val="center"/>
    </w:pPr>
    <w:rPr>
      <w:i/>
      <w:iCs/>
      <w:color w:val="404040" w:themeColor="text1" w:themeTint="BF"/>
    </w:rPr>
  </w:style>
  <w:style w:type="character" w:customStyle="1" w:styleId="a8">
    <w:name w:val="引用 字符"/>
    <w:basedOn w:val="a0"/>
    <w:link w:val="a7"/>
    <w:uiPriority w:val="29"/>
    <w:rsid w:val="00065C2E"/>
    <w:rPr>
      <w:i/>
      <w:iCs/>
      <w:color w:val="404040" w:themeColor="text1" w:themeTint="BF"/>
    </w:rPr>
  </w:style>
  <w:style w:type="paragraph" w:styleId="a9">
    <w:name w:val="List Paragraph"/>
    <w:basedOn w:val="a"/>
    <w:uiPriority w:val="34"/>
    <w:qFormat/>
    <w:rsid w:val="00065C2E"/>
    <w:pPr>
      <w:ind w:left="720"/>
      <w:contextualSpacing/>
    </w:pPr>
  </w:style>
  <w:style w:type="character" w:styleId="aa">
    <w:name w:val="Intense Emphasis"/>
    <w:basedOn w:val="a0"/>
    <w:uiPriority w:val="21"/>
    <w:qFormat/>
    <w:rsid w:val="00065C2E"/>
    <w:rPr>
      <w:i/>
      <w:iCs/>
      <w:color w:val="0F4761" w:themeColor="accent1" w:themeShade="BF"/>
    </w:rPr>
  </w:style>
  <w:style w:type="paragraph" w:styleId="ab">
    <w:name w:val="Intense Quote"/>
    <w:basedOn w:val="a"/>
    <w:next w:val="a"/>
    <w:link w:val="ac"/>
    <w:uiPriority w:val="30"/>
    <w:qFormat/>
    <w:rsid w:val="00065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65C2E"/>
    <w:rPr>
      <w:i/>
      <w:iCs/>
      <w:color w:val="0F4761" w:themeColor="accent1" w:themeShade="BF"/>
    </w:rPr>
  </w:style>
  <w:style w:type="character" w:styleId="ad">
    <w:name w:val="Intense Reference"/>
    <w:basedOn w:val="a0"/>
    <w:uiPriority w:val="32"/>
    <w:qFormat/>
    <w:rsid w:val="00065C2E"/>
    <w:rPr>
      <w:b/>
      <w:bCs/>
      <w:smallCaps/>
      <w:color w:val="0F4761" w:themeColor="accent1" w:themeShade="BF"/>
      <w:spacing w:val="5"/>
    </w:rPr>
  </w:style>
  <w:style w:type="character" w:styleId="ae">
    <w:name w:val="annotation reference"/>
    <w:basedOn w:val="a0"/>
    <w:uiPriority w:val="99"/>
    <w:semiHidden/>
    <w:unhideWhenUsed/>
    <w:rsid w:val="00E06814"/>
    <w:rPr>
      <w:sz w:val="21"/>
      <w:szCs w:val="21"/>
    </w:rPr>
  </w:style>
  <w:style w:type="paragraph" w:styleId="af">
    <w:name w:val="annotation text"/>
    <w:basedOn w:val="a"/>
    <w:link w:val="af0"/>
    <w:uiPriority w:val="99"/>
    <w:semiHidden/>
    <w:unhideWhenUsed/>
    <w:rsid w:val="00E06814"/>
    <w:pPr>
      <w:widowControl/>
      <w:spacing w:after="160" w:line="278" w:lineRule="auto"/>
      <w:jc w:val="left"/>
    </w:pPr>
    <w:rPr>
      <w:kern w:val="0"/>
      <w:sz w:val="24"/>
      <w:szCs w:val="24"/>
    </w:rPr>
  </w:style>
  <w:style w:type="character" w:customStyle="1" w:styleId="af0">
    <w:name w:val="批注文字 字符"/>
    <w:basedOn w:val="a0"/>
    <w:link w:val="af"/>
    <w:uiPriority w:val="99"/>
    <w:semiHidden/>
    <w:rsid w:val="00E06814"/>
    <w:rPr>
      <w:kern w:val="0"/>
      <w:sz w:val="24"/>
      <w:szCs w:val="24"/>
    </w:rPr>
  </w:style>
  <w:style w:type="paragraph" w:styleId="af1">
    <w:name w:val="Normal (Web)"/>
    <w:basedOn w:val="a"/>
    <w:uiPriority w:val="99"/>
    <w:semiHidden/>
    <w:unhideWhenUsed/>
    <w:rsid w:val="007B7784"/>
    <w:rPr>
      <w:rFonts w:ascii="Times New Roman" w:hAnsi="Times New Roman" w:cs="Times New Roman"/>
      <w:sz w:val="24"/>
      <w:szCs w:val="24"/>
    </w:rPr>
  </w:style>
  <w:style w:type="character" w:styleId="af2">
    <w:name w:val="Placeholder Text"/>
    <w:basedOn w:val="a0"/>
    <w:uiPriority w:val="99"/>
    <w:semiHidden/>
    <w:rsid w:val="00317F54"/>
    <w:rPr>
      <w:color w:val="666666"/>
    </w:rPr>
  </w:style>
  <w:style w:type="paragraph" w:styleId="af3">
    <w:name w:val="annotation subject"/>
    <w:basedOn w:val="af"/>
    <w:next w:val="af"/>
    <w:link w:val="af4"/>
    <w:uiPriority w:val="99"/>
    <w:semiHidden/>
    <w:unhideWhenUsed/>
    <w:rsid w:val="005F5925"/>
    <w:pPr>
      <w:widowControl w:val="0"/>
      <w:spacing w:after="0" w:line="240" w:lineRule="auto"/>
      <w:jc w:val="both"/>
    </w:pPr>
    <w:rPr>
      <w:b/>
      <w:bCs/>
      <w:kern w:val="2"/>
      <w:sz w:val="20"/>
      <w:szCs w:val="20"/>
    </w:rPr>
  </w:style>
  <w:style w:type="character" w:customStyle="1" w:styleId="af4">
    <w:name w:val="批注主题 字符"/>
    <w:basedOn w:val="af0"/>
    <w:link w:val="af3"/>
    <w:uiPriority w:val="99"/>
    <w:semiHidden/>
    <w:rsid w:val="005F5925"/>
    <w:rPr>
      <w:b/>
      <w:bCs/>
      <w:kern w:val="0"/>
      <w:sz w:val="20"/>
      <w:szCs w:val="20"/>
    </w:rPr>
  </w:style>
  <w:style w:type="paragraph" w:styleId="af5">
    <w:name w:val="Revision"/>
    <w:hidden/>
    <w:uiPriority w:val="99"/>
    <w:semiHidden/>
    <w:rsid w:val="005F5925"/>
  </w:style>
  <w:style w:type="paragraph" w:styleId="af6">
    <w:name w:val="header"/>
    <w:basedOn w:val="a"/>
    <w:link w:val="af7"/>
    <w:uiPriority w:val="99"/>
    <w:unhideWhenUsed/>
    <w:rsid w:val="00F14B66"/>
    <w:pPr>
      <w:tabs>
        <w:tab w:val="center" w:pos="4153"/>
        <w:tab w:val="right" w:pos="8306"/>
      </w:tabs>
      <w:snapToGrid w:val="0"/>
      <w:jc w:val="center"/>
    </w:pPr>
    <w:rPr>
      <w:sz w:val="18"/>
      <w:szCs w:val="18"/>
    </w:rPr>
  </w:style>
  <w:style w:type="character" w:customStyle="1" w:styleId="af7">
    <w:name w:val="页眉 字符"/>
    <w:basedOn w:val="a0"/>
    <w:link w:val="af6"/>
    <w:uiPriority w:val="99"/>
    <w:rsid w:val="00F14B66"/>
    <w:rPr>
      <w:sz w:val="18"/>
      <w:szCs w:val="18"/>
    </w:rPr>
  </w:style>
  <w:style w:type="paragraph" w:styleId="af8">
    <w:name w:val="footer"/>
    <w:basedOn w:val="a"/>
    <w:link w:val="af9"/>
    <w:uiPriority w:val="99"/>
    <w:unhideWhenUsed/>
    <w:rsid w:val="00F14B66"/>
    <w:pPr>
      <w:tabs>
        <w:tab w:val="center" w:pos="4153"/>
        <w:tab w:val="right" w:pos="8306"/>
      </w:tabs>
      <w:snapToGrid w:val="0"/>
      <w:jc w:val="left"/>
    </w:pPr>
    <w:rPr>
      <w:sz w:val="18"/>
      <w:szCs w:val="18"/>
    </w:rPr>
  </w:style>
  <w:style w:type="character" w:customStyle="1" w:styleId="af9">
    <w:name w:val="页脚 字符"/>
    <w:basedOn w:val="a0"/>
    <w:link w:val="af8"/>
    <w:uiPriority w:val="99"/>
    <w:rsid w:val="00F14B6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17290">
      <w:marLeft w:val="640"/>
      <w:marRight w:val="0"/>
      <w:marTop w:val="0"/>
      <w:marBottom w:val="0"/>
      <w:divBdr>
        <w:top w:val="none" w:sz="0" w:space="0" w:color="auto"/>
        <w:left w:val="none" w:sz="0" w:space="0" w:color="auto"/>
        <w:bottom w:val="none" w:sz="0" w:space="0" w:color="auto"/>
        <w:right w:val="none" w:sz="0" w:space="0" w:color="auto"/>
      </w:divBdr>
    </w:div>
    <w:div w:id="279650626">
      <w:marLeft w:val="640"/>
      <w:marRight w:val="0"/>
      <w:marTop w:val="0"/>
      <w:marBottom w:val="0"/>
      <w:divBdr>
        <w:top w:val="none" w:sz="0" w:space="0" w:color="auto"/>
        <w:left w:val="none" w:sz="0" w:space="0" w:color="auto"/>
        <w:bottom w:val="none" w:sz="0" w:space="0" w:color="auto"/>
        <w:right w:val="none" w:sz="0" w:space="0" w:color="auto"/>
      </w:divBdr>
    </w:div>
    <w:div w:id="377362162">
      <w:marLeft w:val="640"/>
      <w:marRight w:val="0"/>
      <w:marTop w:val="0"/>
      <w:marBottom w:val="0"/>
      <w:divBdr>
        <w:top w:val="none" w:sz="0" w:space="0" w:color="auto"/>
        <w:left w:val="none" w:sz="0" w:space="0" w:color="auto"/>
        <w:bottom w:val="none" w:sz="0" w:space="0" w:color="auto"/>
        <w:right w:val="none" w:sz="0" w:space="0" w:color="auto"/>
      </w:divBdr>
    </w:div>
    <w:div w:id="445545686">
      <w:marLeft w:val="640"/>
      <w:marRight w:val="0"/>
      <w:marTop w:val="0"/>
      <w:marBottom w:val="0"/>
      <w:divBdr>
        <w:top w:val="none" w:sz="0" w:space="0" w:color="auto"/>
        <w:left w:val="none" w:sz="0" w:space="0" w:color="auto"/>
        <w:bottom w:val="none" w:sz="0" w:space="0" w:color="auto"/>
        <w:right w:val="none" w:sz="0" w:space="0" w:color="auto"/>
      </w:divBdr>
    </w:div>
    <w:div w:id="519929784">
      <w:marLeft w:val="640"/>
      <w:marRight w:val="0"/>
      <w:marTop w:val="0"/>
      <w:marBottom w:val="0"/>
      <w:divBdr>
        <w:top w:val="none" w:sz="0" w:space="0" w:color="auto"/>
        <w:left w:val="none" w:sz="0" w:space="0" w:color="auto"/>
        <w:bottom w:val="none" w:sz="0" w:space="0" w:color="auto"/>
        <w:right w:val="none" w:sz="0" w:space="0" w:color="auto"/>
      </w:divBdr>
    </w:div>
    <w:div w:id="521630314">
      <w:marLeft w:val="640"/>
      <w:marRight w:val="0"/>
      <w:marTop w:val="0"/>
      <w:marBottom w:val="0"/>
      <w:divBdr>
        <w:top w:val="none" w:sz="0" w:space="0" w:color="auto"/>
        <w:left w:val="none" w:sz="0" w:space="0" w:color="auto"/>
        <w:bottom w:val="none" w:sz="0" w:space="0" w:color="auto"/>
        <w:right w:val="none" w:sz="0" w:space="0" w:color="auto"/>
      </w:divBdr>
    </w:div>
    <w:div w:id="566187867">
      <w:marLeft w:val="640"/>
      <w:marRight w:val="0"/>
      <w:marTop w:val="0"/>
      <w:marBottom w:val="0"/>
      <w:divBdr>
        <w:top w:val="none" w:sz="0" w:space="0" w:color="auto"/>
        <w:left w:val="none" w:sz="0" w:space="0" w:color="auto"/>
        <w:bottom w:val="none" w:sz="0" w:space="0" w:color="auto"/>
        <w:right w:val="none" w:sz="0" w:space="0" w:color="auto"/>
      </w:divBdr>
    </w:div>
    <w:div w:id="776215295">
      <w:marLeft w:val="640"/>
      <w:marRight w:val="0"/>
      <w:marTop w:val="0"/>
      <w:marBottom w:val="0"/>
      <w:divBdr>
        <w:top w:val="none" w:sz="0" w:space="0" w:color="auto"/>
        <w:left w:val="none" w:sz="0" w:space="0" w:color="auto"/>
        <w:bottom w:val="none" w:sz="0" w:space="0" w:color="auto"/>
        <w:right w:val="none" w:sz="0" w:space="0" w:color="auto"/>
      </w:divBdr>
    </w:div>
    <w:div w:id="890731519">
      <w:marLeft w:val="640"/>
      <w:marRight w:val="0"/>
      <w:marTop w:val="0"/>
      <w:marBottom w:val="0"/>
      <w:divBdr>
        <w:top w:val="none" w:sz="0" w:space="0" w:color="auto"/>
        <w:left w:val="none" w:sz="0" w:space="0" w:color="auto"/>
        <w:bottom w:val="none" w:sz="0" w:space="0" w:color="auto"/>
        <w:right w:val="none" w:sz="0" w:space="0" w:color="auto"/>
      </w:divBdr>
    </w:div>
    <w:div w:id="907226660">
      <w:marLeft w:val="640"/>
      <w:marRight w:val="0"/>
      <w:marTop w:val="0"/>
      <w:marBottom w:val="0"/>
      <w:divBdr>
        <w:top w:val="none" w:sz="0" w:space="0" w:color="auto"/>
        <w:left w:val="none" w:sz="0" w:space="0" w:color="auto"/>
        <w:bottom w:val="none" w:sz="0" w:space="0" w:color="auto"/>
        <w:right w:val="none" w:sz="0" w:space="0" w:color="auto"/>
      </w:divBdr>
    </w:div>
    <w:div w:id="1013915387">
      <w:marLeft w:val="640"/>
      <w:marRight w:val="0"/>
      <w:marTop w:val="0"/>
      <w:marBottom w:val="0"/>
      <w:divBdr>
        <w:top w:val="none" w:sz="0" w:space="0" w:color="auto"/>
        <w:left w:val="none" w:sz="0" w:space="0" w:color="auto"/>
        <w:bottom w:val="none" w:sz="0" w:space="0" w:color="auto"/>
        <w:right w:val="none" w:sz="0" w:space="0" w:color="auto"/>
      </w:divBdr>
    </w:div>
    <w:div w:id="1163812445">
      <w:marLeft w:val="640"/>
      <w:marRight w:val="0"/>
      <w:marTop w:val="0"/>
      <w:marBottom w:val="0"/>
      <w:divBdr>
        <w:top w:val="none" w:sz="0" w:space="0" w:color="auto"/>
        <w:left w:val="none" w:sz="0" w:space="0" w:color="auto"/>
        <w:bottom w:val="none" w:sz="0" w:space="0" w:color="auto"/>
        <w:right w:val="none" w:sz="0" w:space="0" w:color="auto"/>
      </w:divBdr>
    </w:div>
    <w:div w:id="1168666302">
      <w:marLeft w:val="640"/>
      <w:marRight w:val="0"/>
      <w:marTop w:val="0"/>
      <w:marBottom w:val="0"/>
      <w:divBdr>
        <w:top w:val="none" w:sz="0" w:space="0" w:color="auto"/>
        <w:left w:val="none" w:sz="0" w:space="0" w:color="auto"/>
        <w:bottom w:val="none" w:sz="0" w:space="0" w:color="auto"/>
        <w:right w:val="none" w:sz="0" w:space="0" w:color="auto"/>
      </w:divBdr>
    </w:div>
    <w:div w:id="1284967961">
      <w:marLeft w:val="640"/>
      <w:marRight w:val="0"/>
      <w:marTop w:val="0"/>
      <w:marBottom w:val="0"/>
      <w:divBdr>
        <w:top w:val="none" w:sz="0" w:space="0" w:color="auto"/>
        <w:left w:val="none" w:sz="0" w:space="0" w:color="auto"/>
        <w:bottom w:val="none" w:sz="0" w:space="0" w:color="auto"/>
        <w:right w:val="none" w:sz="0" w:space="0" w:color="auto"/>
      </w:divBdr>
    </w:div>
    <w:div w:id="1301107859">
      <w:marLeft w:val="640"/>
      <w:marRight w:val="0"/>
      <w:marTop w:val="0"/>
      <w:marBottom w:val="0"/>
      <w:divBdr>
        <w:top w:val="none" w:sz="0" w:space="0" w:color="auto"/>
        <w:left w:val="none" w:sz="0" w:space="0" w:color="auto"/>
        <w:bottom w:val="none" w:sz="0" w:space="0" w:color="auto"/>
        <w:right w:val="none" w:sz="0" w:space="0" w:color="auto"/>
      </w:divBdr>
    </w:div>
    <w:div w:id="1371224627">
      <w:marLeft w:val="640"/>
      <w:marRight w:val="0"/>
      <w:marTop w:val="0"/>
      <w:marBottom w:val="0"/>
      <w:divBdr>
        <w:top w:val="none" w:sz="0" w:space="0" w:color="auto"/>
        <w:left w:val="none" w:sz="0" w:space="0" w:color="auto"/>
        <w:bottom w:val="none" w:sz="0" w:space="0" w:color="auto"/>
        <w:right w:val="none" w:sz="0" w:space="0" w:color="auto"/>
      </w:divBdr>
    </w:div>
    <w:div w:id="1424497400">
      <w:marLeft w:val="640"/>
      <w:marRight w:val="0"/>
      <w:marTop w:val="0"/>
      <w:marBottom w:val="0"/>
      <w:divBdr>
        <w:top w:val="none" w:sz="0" w:space="0" w:color="auto"/>
        <w:left w:val="none" w:sz="0" w:space="0" w:color="auto"/>
        <w:bottom w:val="none" w:sz="0" w:space="0" w:color="auto"/>
        <w:right w:val="none" w:sz="0" w:space="0" w:color="auto"/>
      </w:divBdr>
    </w:div>
    <w:div w:id="1533372580">
      <w:marLeft w:val="640"/>
      <w:marRight w:val="0"/>
      <w:marTop w:val="0"/>
      <w:marBottom w:val="0"/>
      <w:divBdr>
        <w:top w:val="none" w:sz="0" w:space="0" w:color="auto"/>
        <w:left w:val="none" w:sz="0" w:space="0" w:color="auto"/>
        <w:bottom w:val="none" w:sz="0" w:space="0" w:color="auto"/>
        <w:right w:val="none" w:sz="0" w:space="0" w:color="auto"/>
      </w:divBdr>
    </w:div>
    <w:div w:id="1553888436">
      <w:marLeft w:val="640"/>
      <w:marRight w:val="0"/>
      <w:marTop w:val="0"/>
      <w:marBottom w:val="0"/>
      <w:divBdr>
        <w:top w:val="none" w:sz="0" w:space="0" w:color="auto"/>
        <w:left w:val="none" w:sz="0" w:space="0" w:color="auto"/>
        <w:bottom w:val="none" w:sz="0" w:space="0" w:color="auto"/>
        <w:right w:val="none" w:sz="0" w:space="0" w:color="auto"/>
      </w:divBdr>
    </w:div>
    <w:div w:id="1642802603">
      <w:marLeft w:val="640"/>
      <w:marRight w:val="0"/>
      <w:marTop w:val="0"/>
      <w:marBottom w:val="0"/>
      <w:divBdr>
        <w:top w:val="none" w:sz="0" w:space="0" w:color="auto"/>
        <w:left w:val="none" w:sz="0" w:space="0" w:color="auto"/>
        <w:bottom w:val="none" w:sz="0" w:space="0" w:color="auto"/>
        <w:right w:val="none" w:sz="0" w:space="0" w:color="auto"/>
      </w:divBdr>
    </w:div>
    <w:div w:id="1719817532">
      <w:marLeft w:val="640"/>
      <w:marRight w:val="0"/>
      <w:marTop w:val="0"/>
      <w:marBottom w:val="0"/>
      <w:divBdr>
        <w:top w:val="none" w:sz="0" w:space="0" w:color="auto"/>
        <w:left w:val="none" w:sz="0" w:space="0" w:color="auto"/>
        <w:bottom w:val="none" w:sz="0" w:space="0" w:color="auto"/>
        <w:right w:val="none" w:sz="0" w:space="0" w:color="auto"/>
      </w:divBdr>
    </w:div>
    <w:div w:id="1725058926">
      <w:marLeft w:val="640"/>
      <w:marRight w:val="0"/>
      <w:marTop w:val="0"/>
      <w:marBottom w:val="0"/>
      <w:divBdr>
        <w:top w:val="none" w:sz="0" w:space="0" w:color="auto"/>
        <w:left w:val="none" w:sz="0" w:space="0" w:color="auto"/>
        <w:bottom w:val="none" w:sz="0" w:space="0" w:color="auto"/>
        <w:right w:val="none" w:sz="0" w:space="0" w:color="auto"/>
      </w:divBdr>
    </w:div>
    <w:div w:id="1793787881">
      <w:marLeft w:val="640"/>
      <w:marRight w:val="0"/>
      <w:marTop w:val="0"/>
      <w:marBottom w:val="0"/>
      <w:divBdr>
        <w:top w:val="none" w:sz="0" w:space="0" w:color="auto"/>
        <w:left w:val="none" w:sz="0" w:space="0" w:color="auto"/>
        <w:bottom w:val="none" w:sz="0" w:space="0" w:color="auto"/>
        <w:right w:val="none" w:sz="0" w:space="0" w:color="auto"/>
      </w:divBdr>
    </w:div>
    <w:div w:id="1829634253">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常规"/>
          <w:gallery w:val="placeholder"/>
        </w:category>
        <w:types>
          <w:type w:val="bbPlcHdr"/>
        </w:types>
        <w:behaviors>
          <w:behavior w:val="content"/>
        </w:behaviors>
        <w:guid w:val="{D645C7C8-5AC2-4FB7-A929-691D79143366}"/>
      </w:docPartPr>
      <w:docPartBody>
        <w:p w:rsidR="000F2FB0" w:rsidRDefault="00BD65FA">
          <w:pPr>
            <w:rPr>
              <w:rFonts w:hint="eastAsia"/>
            </w:rPr>
          </w:pPr>
          <w:r w:rsidRPr="00C76BA2">
            <w:rPr>
              <w:rStyle w:val="a3"/>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20"/>
  <w:hyphenationZone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FA"/>
    <w:rsid w:val="00000545"/>
    <w:rsid w:val="000844B6"/>
    <w:rsid w:val="000F2FB0"/>
    <w:rsid w:val="00250F53"/>
    <w:rsid w:val="00357DFE"/>
    <w:rsid w:val="003D15F9"/>
    <w:rsid w:val="004607E5"/>
    <w:rsid w:val="00526FAE"/>
    <w:rsid w:val="006C7BBC"/>
    <w:rsid w:val="00713EEF"/>
    <w:rsid w:val="007A5264"/>
    <w:rsid w:val="008C055F"/>
    <w:rsid w:val="00A23556"/>
    <w:rsid w:val="00BD65FA"/>
    <w:rsid w:val="00C7691E"/>
    <w:rsid w:val="00DC2862"/>
    <w:rsid w:val="00F811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D65F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2467DB-D7C0-4307-A364-07344F8F32EF}">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79095835984"/>
    <we:property name="MENDELEY_CITATIONS" value="[{&quot;citationID&quot;:&quot;MENDELEY_CITATION_45889e2c-f11e-4e75-91a1-e18c74b54e3a&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&quot;,&quot;citationItems&quot;:[{&quot;id&quot;:&quot;a894d4ee-440e-3946-a305-a33b52c0b879&quot;,&quot;itemData&quot;:{&quot;type&quot;:&quot;article&quot;,&quot;id&quot;:&quot;a894d4ee-440e-3946-a305-a33b52c0b879&quot;,&quot;title&quot;:&quot;Coupling electrochemistry with in situ fluorescence (confocal) microscopy&quot;,&quot;groupId&quot;:&quot;97f30a9f-fd38-328b-82ee-96bb452b647b&quot;,&quot;author&quot;:[{&quot;family&quot;:&quot;Bouffier&quot;,&quot;given&quot;:&quot;Laurent&quot;,&quot;parse-names&quot;:false,&quot;dropping-particle&quot;:&quot;&quot;,&quot;non-dropping-particle&quot;:&quot;&quot;},{&quot;family&quot;:&quot;Doneux&quot;,&quot;given&quot;:&quot;Thomas&quot;,&quot;parse-names&quot;:false,&quot;dropping-particle&quot;:&quot;&quot;,&quot;non-dropping-particle&quot;:&quot;&quot;}],&quot;container-title&quot;:&quot;Current Opinion in Electrochemistry&quot;,&quot;container-title-short&quot;:&quot;Curr. Opin. Electrochem.&quot;,&quot;DOI&quot;:&quot;10.1016/j.coelec.2017.06.015&quot;,&quot;ISSN&quot;:&quot;24519111&quot;,&quot;issued&quot;:{&quot;date-parts&quot;:[[2017,12,1]]},&quot;page&quot;:&quot;31-37&quot;,&quot;abstract&quot;:&quot;Electrochemistry and fluorescence microscopy are two complementary transduction techniques that offer synergetic advantages when employed simultaneously. In particular, it is possible to study electrochemical reactivity by recording in situ fluorescence images under electrochemical control. The corresponding data are time-resolved with a quantitative electrochemical signal combined with spatial information provided by fluorescence microscopy. This topic is illustrated with various fluorogenic systems with a special focus on confocal imaging allowing varying of the longitudinal z distance when collecting planar (x–y) data. Recent and future perspectives toward super-resolution microscopy are also discussed.&quot;,&quot;publisher&quot;:&quot;Elsevier B.V.&quot;,&quot;issue&quot;:&quot;1&quot;,&quot;volume&quot;:&quot;6&quot;},&quot;isTemporary&quot;:false}]},{&quot;citationID&quot;:&quot;MENDELEY_CITATION_4dfbc29e-7125-4ae0-9745-e90cda00980e&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&quot;,&quot;citationItems&quot;:[{&quot;id&quot;:&quot;0039fa00-3475-3083-b16c-b81058645b24&quot;,&quot;itemData&quot;:{&quot;type&quot;:&quot;article-journal&quot;,&quot;id&quot;:&quot;0039fa00-3475-3083-b16c-b81058645b24&quot;,&quot;title&quot;:&quot;Electrochemical and optical behavior of 8-Hydroxypyrene-1,3,6-trisulfonic acid at optically transparent electrodes&quot;,&quot;groupId&quot;:&quot;88a0c32e-fd92-37fe-a829-4d41b3977c7b&quot;,&quot;author&quot;:[{&quot;family&quot;:&quot;Andrews&quot;,&quot;given&quot;:&quot;Ronnee N.&quot;,&quot;parse-names&quot;:false,&quot;dropping-particle&quot;:&quot;&quot;,&quot;non-dropping-particle&quot;:&quot;&quot;},{&quot;family&quot;:&quot;Seliskar&quot;,&quot;given&quot;:&quot;Carl J.&quot;,&quot;parse-names&quot;:false,&quot;dropping-particle&quot;:&quot;&quot;,&quot;non-dropping-particle&quot;:&quot;&quot;},{&quot;family&quot;:&quot;Heineman&quot;,&quot;given&quot;:&quot;William R.&quot;,&quot;parse-names&quot;:false,&quot;dropping-particle&quot;:&quot;&quot;,&quot;non-dropping-particle&quot;:&quot;&quot;}],&quot;container-title&quot;:&quot;Electroanalysis&quot;,&quot;container-title-short&quot;:&quot;Electroanalysis&quot;,&quot;DOI&quot;:&quot;10.1002/elan.200900588&quot;,&quot;ISSN&quot;:&quot;15214109&quot;,&quot;issued&quot;:{&quot;date-parts&quot;:[[2010]]},&quot;page&quot;:&quot;1557-1565&quot;,&quot;abstract&quot;:&quot;The objective of this work is to elucidate the electrochemical and corresponding optical properties of 8-hydroxypyrene-1,3,6-trisulfonic acid (HPTS), using optically transparent electrodes, thereby deducing its usefulness as a model compound for spectroelectrochemical sensor development. Three pH levels were tested to determine optimal solution conditions for optical signal modulation. The electrolysis of HPTS follows an ECE mechanism, presumably resulting in the formation of a dihydroxy/dione derivative, and modulates the optical response at 405 and 460 nm wavelengths for pH 5 solutions. HPTS is a good candidate for spectroelectrochemical sensor research. © 2010 Wiley-VCH Verlag GmbH&amp;Co. KGaA, Weinheim.&quot;,&quot;publisher&quot;:&quot;Wiley-VCH Verlag&quot;,&quot;issue&quot;:&quot;14&quot;,&quot;volume&quot;:&quot;22&quot;},&quot;isTemporary&quot;:false}]},{&quot;citationID&quot;:&quot;MENDELEY_CITATION_894dd9f4-ac80-418b-9b27-13c8f64e2ee9&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&quot;,&quot;citationItems&quot;:[{&quot;id&quot;:&quot;800c748e-3b8c-3367-8409-f20346015abe&quot;,&quot;itemData&quot;:{&quot;type&quot;:&quot;article-journal&quot;,&quot;id&quot;:&quot;800c748e-3b8c-3367-8409-f20346015abe&quot;,&quot;title&quot;:&quot;Dual microelectrodes decorated with nanotip arrays: Fabrication, characterization and spectroelectrochemical sensing&quot;,&quot;groupId&quot;:&quot;14cf0de3-61ea-3bf3-85c5-c1d6ac783944&quot;,&quot;author&quot;:[{&quot;family&quot;:&quot;Bombail&quot;,&quot;given&quot;:&quot;Thibault&quot;,&quot;parse-names&quot;:false,&quot;dropping-particle&quot;:&quot;&quot;,&quot;non-dropping-particle&quot;:&quot;&quot;},{&quot;family&quot;:&quot;Garrigue&quot;,&quot;given&quot;:&quot;Patrick&quot;,&quot;parse-names&quot;:false,&quot;dropping-particle&quot;:&quot;&quot;,&quot;non-dropping-particle&quot;:&quot;&quot;},{&quot;family&quot;:&quot;Goudeau&quot;,&quot;given&quot;:&quot;Bertrand&quot;,&quot;parse-names&quot;:false,&quot;dropping-particle&quot;:&quot;&quot;,&quot;non-dropping-particle&quot;:&quot;&quot;},{&quot;family&quot;:&quot;Talaga&quot;,&quot;given&quot;:&quot;David&quot;,&quot;parse-names&quot;:false,&quot;dropping-particle&quot;:&quot;&quot;,&quot;non-dropping-particle&quot;:&quot;&quot;},{&quot;family&quot;:&quot;Bouffier&quot;,&quot;given&quot;:&quot;Laurent&quot;,&quot;parse-names&quot;:false,&quot;dropping-particle&quot;:&quot;&quot;,&quot;non-dropping-particle&quot;:&quot;&quot;},{&quot;family&quot;:&quot;Bonhommeau&quot;,&quot;given&quot;:&quot;Sébastien&quot;,&quot;parse-names&quot;:false,&quot;dropping-particle&quot;:&quot;&quot;,&quot;non-dropping-particle&quot;:&quot;&quot;},{&quot;family&quot;:&quot;Servant&quot;,&quot;given&quot;:&quot;Laurent&quot;,&quot;parse-names&quot;:false,&quot;dropping-particle&quot;:&quot;&quot;,&quot;non-dropping-particle&quot;:&quot;&quot;},{&quot;family&quot;:&quot;Zigah&quot;,&quot;given&quot;:&quot;Dodzi&quot;,&quot;parse-names&quot;:false,&quot;dropping-particle&quot;:&quot;&quot;,&quot;non-dropping-particle&quot;:&quot;&quot;},{&quot;family&quot;:&quot;Arbault&quot;,&quot;given&quot;:&quot;Stéphane&quot;,&quot;parse-names&quot;:false,&quot;dropping-particle&quot;:&quot;&quot;,&quot;non-dropping-particle&quot;:&quot;&quot;},{&quot;family&quot;:&quot;Sojic&quot;,&quot;given&quot;:&quot;Neso&quot;,&quot;parse-names&quot;:false,&quot;dropping-particle&quot;:&quot;&quot;,&quot;non-dropping-particle&quot;:&quot;&quot;}],&quot;container-title&quot;:&quot;Electrochimica Acta&quot;,&quot;container-title-short&quot;:&quot;Electrochim. Acta&quot;,&quot;accessed&quot;:{&quot;date-parts&quot;:[[2024,5,16]]},&quot;DOI&quot;:&quot;10.1016/J.ELECTACTA.2019.135105&quot;,&quot;ISSN&quot;:&quot;0013-4686&quot;,&quot;issued&quot;:{&quot;date-parts&quot;:[[2019,12,20]]},&quot;page&quot;:&quot;135105&quot;,&quot;abstract&quot;:&quot;Gold microelectrodes decorated with nanotips were developed for spectroelectrochemical experiments. These new dual probes were fabricated by combining fabrication processes of scanning near-field optical microscopy with photolithography. A nanotip array was produced at the surface of a coherent optical fiber bundle by a wet chemical etching step. The resulting nanostructured surface was sputter-coated with a thin gold layer. This gold film conferred plasmonic properties to the sharp nanotips and served as well as the electrode material to enable electrochemical reactions. A photolithographic process was used to delimit on the bundle surface nanotips-decorated microelectrodes with tunable dimensions (radii ranging between 20 μm and 3.5 μm) individually or in an array format. The resulting microelectrodes with a regular nanotip pattern were characterized first by cyclic voltammetry. Numerical simulation was used to assess the electrochemical properties of these platforms and the influences of the recessed geometry and of the nanotips. Approach curves were recorded in negative and positive feedback modes of scanning electrochemical microscopy (SECM) on insulating and conducting substrates. Finally, spatially resolved Raman imaging allowed us to detect a mercaptobenzoic acid monolayer adsorbed on the microelectrode surface, demonstrating a surface-enhanced Raman scattering (SERS) effect induced by the gold-coated nanotips with a typical enhancement factor of ∼7 × 104. Such an approach introduces a reproducible method to fabricate promising SERS-active platforms with microelectrode behavior for SECM experiments.&quot;,&quot;publisher&quot;:&quot;Pergamon&quot;,&quot;volume&quot;:&quot;328&quot;},&quot;isTemporary&quot;:false}]}]"/>
    <we:property name="MENDELEY_CITATIONS_LOCALE_CODE" value="&quot;en-US&quot;"/>
    <we:property name="MENDELEY_CITATIONS_STYLE" value="{&quot;id&quot;:&quot;https://www.zotero.org/styles/angewandte-chemie&quot;,&quot;title&quot;:&quot;Angewandte Chemie International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53B30-70E9-4387-A111-CB68A2407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425</Words>
  <Characters>2428</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w</dc:creator>
  <cp:keywords/>
  <dc:description/>
  <cp:lastModifiedBy>arwe</cp:lastModifiedBy>
  <cp:revision>5</cp:revision>
  <dcterms:created xsi:type="dcterms:W3CDTF">2026-05-29T15:14:00Z</dcterms:created>
  <dcterms:modified xsi:type="dcterms:W3CDTF">2026-05-29T15:20:00Z</dcterms:modified>
</cp:coreProperties>
</file>