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799C" w14:textId="4A3AD3D6" w:rsidR="00917A74" w:rsidRDefault="00D44B41">
      <w:pPr>
        <w:spacing w:after="120"/>
        <w:jc w:val="center"/>
      </w:pPr>
      <w:r w:rsidRPr="00D44B41">
        <w:rPr>
          <w:b/>
          <w:sz w:val="28"/>
        </w:rPr>
        <w:t>Operando Elucidation of Mg-Migration-Mediated Oxygen Redox in P2-Type Sodium-Ion Cathodes</w:t>
      </w:r>
    </w:p>
    <w:p w14:paraId="70264311" w14:textId="54171585" w:rsidR="00917A74" w:rsidRPr="00725439" w:rsidRDefault="00000000">
      <w:pPr>
        <w:jc w:val="center"/>
        <w:rPr>
          <w:lang w:val="de-DE"/>
        </w:rPr>
      </w:pPr>
      <w:r w:rsidRPr="00725439">
        <w:rPr>
          <w:u w:val="single"/>
          <w:lang w:val="de-DE"/>
        </w:rPr>
        <w:t>Soumik Kumar</w:t>
      </w:r>
      <w:r w:rsidRPr="00725439">
        <w:rPr>
          <w:lang w:val="de-DE"/>
        </w:rPr>
        <w:t xml:space="preserve">, </w:t>
      </w:r>
      <w:r w:rsidR="00725439" w:rsidRPr="00725439">
        <w:rPr>
          <w:lang w:val="de-DE"/>
        </w:rPr>
        <w:t xml:space="preserve">Bei Zhou, </w:t>
      </w:r>
      <w:r w:rsidRPr="00725439">
        <w:rPr>
          <w:lang w:val="de-DE"/>
        </w:rPr>
        <w:t>Qingsong Wang</w:t>
      </w:r>
    </w:p>
    <w:p w14:paraId="06E7C483" w14:textId="77777777" w:rsidR="00917A74" w:rsidRDefault="00000000">
      <w:pPr>
        <w:jc w:val="center"/>
      </w:pPr>
      <w:r>
        <w:rPr>
          <w:i/>
        </w:rPr>
        <w:t>Bavarian Center for Battery Technology (</w:t>
      </w:r>
      <w:proofErr w:type="spellStart"/>
      <w:r>
        <w:rPr>
          <w:i/>
        </w:rPr>
        <w:t>BayBatt</w:t>
      </w:r>
      <w:proofErr w:type="spellEnd"/>
      <w:r>
        <w:rPr>
          <w:i/>
        </w:rPr>
        <w:t>), University of Bayreuth</w:t>
      </w:r>
    </w:p>
    <w:p w14:paraId="046A8745" w14:textId="77777777" w:rsidR="00917A74" w:rsidRPr="00136DF0" w:rsidRDefault="00000000">
      <w:pPr>
        <w:jc w:val="center"/>
        <w:rPr>
          <w:lang w:val="de-DE"/>
        </w:rPr>
      </w:pPr>
      <w:r w:rsidRPr="00136DF0">
        <w:rPr>
          <w:i/>
          <w:lang w:val="de-DE"/>
        </w:rPr>
        <w:t>Weiherstraße 26, 95448 Bayreuth, Germany</w:t>
      </w:r>
    </w:p>
    <w:p w14:paraId="05D425F5" w14:textId="408029E7" w:rsidR="00917A74" w:rsidRPr="00136DF0" w:rsidRDefault="00000000">
      <w:pPr>
        <w:spacing w:after="160"/>
        <w:jc w:val="center"/>
        <w:rPr>
          <w:lang w:val="de-DE"/>
        </w:rPr>
      </w:pPr>
      <w:r w:rsidRPr="00136DF0">
        <w:rPr>
          <w:i/>
          <w:lang w:val="de-DE"/>
        </w:rPr>
        <w:t>e-mail: soumik</w:t>
      </w:r>
      <w:r w:rsidR="00725439" w:rsidRPr="00136DF0">
        <w:rPr>
          <w:i/>
          <w:lang w:val="de-DE"/>
        </w:rPr>
        <w:t>.kumar</w:t>
      </w:r>
      <w:r w:rsidRPr="00136DF0">
        <w:rPr>
          <w:i/>
          <w:lang w:val="de-DE"/>
        </w:rPr>
        <w:t>@</w:t>
      </w:r>
      <w:r w:rsidR="00725439" w:rsidRPr="00136DF0">
        <w:rPr>
          <w:i/>
          <w:lang w:val="de-DE"/>
        </w:rPr>
        <w:t>uni-bayreuth.de</w:t>
      </w:r>
    </w:p>
    <w:p w14:paraId="36C0CAD9" w14:textId="4F1011E8" w:rsidR="00917A74" w:rsidRDefault="00000000">
      <w:pPr>
        <w:spacing w:after="60"/>
        <w:jc w:val="both"/>
      </w:pPr>
      <w:r>
        <w:t>Every additional electron stored in a battery cathode must be balanced by a structural and electronic response. For sodium-ion layered oxides, oxygen redox is one of the most promising routes to move beyond the capacity limit of transition-metal redox, yet it is also one of the most delicate. When the lattice oxygen participates in charge compensation, the cathode can gain high-voltage capacity; when this process is not controlled, the same oxygen activity may lead to voltage decay, oxygen loss, phase instability</w:t>
      </w:r>
      <w:r w:rsidR="00E21C12">
        <w:t>,</w:t>
      </w:r>
      <w:r>
        <w:t xml:space="preserve"> and progressive structural degradation.</w:t>
      </w:r>
      <w:r w:rsidR="009A0BC5" w:rsidRPr="009A0BC5">
        <w:rPr>
          <w:vertAlign w:val="superscript"/>
        </w:rPr>
        <w:t>1</w:t>
      </w:r>
      <w:r>
        <w:t xml:space="preserve"> The central challenge is therefore to understand oxygen redox while it is happening and to identify which structural motions make it reversible rather than destructive.</w:t>
      </w:r>
      <w:r w:rsidR="009A0BC5" w:rsidRPr="009A0BC5">
        <w:rPr>
          <w:vertAlign w:val="superscript"/>
        </w:rPr>
        <w:t>2</w:t>
      </w:r>
    </w:p>
    <w:p w14:paraId="1D32AC11" w14:textId="03674F23" w:rsidR="00917A74" w:rsidRDefault="00000000">
      <w:pPr>
        <w:spacing w:after="60"/>
        <w:jc w:val="both"/>
      </w:pPr>
      <w:r>
        <w:t>P2-type layered transition-metal oxides are particularly attractive for this purpose because their open Na</w:t>
      </w:r>
      <w:r w:rsidRPr="008069E6">
        <w:rPr>
          <w:vertAlign w:val="superscript"/>
        </w:rPr>
        <w:t>+</w:t>
      </w:r>
      <w:r>
        <w:t xml:space="preserve"> diffusion pathways, compositional flexibility</w:t>
      </w:r>
      <w:r w:rsidR="00725439">
        <w:t>,</w:t>
      </w:r>
      <w:r>
        <w:t xml:space="preserve"> and high-rate capability make them promising cathodes for low-cost and sustainable sodium-ion batteries. Among different modification strategies, Mg doping is especially intriguing</w:t>
      </w:r>
      <w:r w:rsidR="00725439">
        <w:t>.</w:t>
      </w:r>
      <w:r>
        <w:t xml:space="preserve"> Mg is electrochemically inactive, but it can reshape the local oxygen environment, influence transition-metal ordering and promote anionic redox at high voltage. Instead of treating Mg only as a stabilizing dopant, this study uses Mg-doped Ni-Mn-based P2 oxides as a platform to follow how cation migration, phase evolution</w:t>
      </w:r>
      <w:r w:rsidR="00725439">
        <w:t>,</w:t>
      </w:r>
      <w:r>
        <w:t xml:space="preserve"> and oxygen redox are coupled during electrochemical cycling.</w:t>
      </w:r>
      <w:r w:rsidR="009A0BC5" w:rsidRPr="009A0BC5">
        <w:rPr>
          <w:vertAlign w:val="superscript"/>
        </w:rPr>
        <w:t>3</w:t>
      </w:r>
    </w:p>
    <w:p w14:paraId="3BFFDBB9" w14:textId="76E08303" w:rsidR="00917A74" w:rsidRDefault="00F476EA">
      <w:pPr>
        <w:spacing w:after="60"/>
        <w:jc w:val="both"/>
      </w:pPr>
      <w:r>
        <w:t>In our previous study, a controlled composition series, P2-Na</w:t>
      </w:r>
      <w:r w:rsidRPr="00F476EA">
        <w:rPr>
          <w:vertAlign w:val="subscript"/>
        </w:rPr>
        <w:t>0.67</w:t>
      </w:r>
      <w:r>
        <w:t>Ni</w:t>
      </w:r>
      <w:r w:rsidRPr="00F476EA">
        <w:rPr>
          <w:vertAlign w:val="subscript"/>
        </w:rPr>
        <w:t>0.33-x</w:t>
      </w:r>
      <w:r>
        <w:t>Mg</w:t>
      </w:r>
      <w:r w:rsidRPr="00F476EA">
        <w:rPr>
          <w:vertAlign w:val="subscript"/>
        </w:rPr>
        <w:t>x</w:t>
      </w:r>
      <w:r>
        <w:t>Mn</w:t>
      </w:r>
      <w:r w:rsidRPr="00F476EA">
        <w:rPr>
          <w:vertAlign w:val="subscript"/>
        </w:rPr>
        <w:t>0.67</w:t>
      </w:r>
      <w:r>
        <w:t>O</w:t>
      </w:r>
      <w:r w:rsidRPr="00F476EA">
        <w:rPr>
          <w:vertAlign w:val="subscript"/>
        </w:rPr>
        <w:t>2</w:t>
      </w:r>
      <w:r>
        <w:t>, was investigated to tune the balance between Ni-based cationic redox and Mg-associated oxygen-redox activation. All compositions delivered high initial discharge capacities exceeding 160 mA h g</w:t>
      </w:r>
      <w:r w:rsidRPr="00F476EA">
        <w:rPr>
          <w:vertAlign w:val="superscript"/>
        </w:rPr>
        <w:t>-1</w:t>
      </w:r>
      <w:r>
        <w:t>, confirming that additional charge compensation beyond conventional Ni redox is involved. However, high capacity alone is not a sufficient design criterion. Among all our investigated compositions, Na</w:t>
      </w:r>
      <w:r w:rsidRPr="00F476EA">
        <w:rPr>
          <w:vertAlign w:val="subscript"/>
        </w:rPr>
        <w:t>0.67</w:t>
      </w:r>
      <w:r>
        <w:t>Ni</w:t>
      </w:r>
      <w:r w:rsidRPr="00F476EA">
        <w:rPr>
          <w:vertAlign w:val="subscript"/>
        </w:rPr>
        <w:t>0.</w:t>
      </w:r>
      <w:r>
        <w:rPr>
          <w:vertAlign w:val="subscript"/>
        </w:rPr>
        <w:t>11</w:t>
      </w:r>
      <w:r>
        <w:t>Mg</w:t>
      </w:r>
      <w:r>
        <w:rPr>
          <w:vertAlign w:val="subscript"/>
        </w:rPr>
        <w:t>0.22</w:t>
      </w:r>
      <w:r>
        <w:t>Mn</w:t>
      </w:r>
      <w:r w:rsidRPr="00F476EA">
        <w:rPr>
          <w:vertAlign w:val="subscript"/>
        </w:rPr>
        <w:t>0.67</w:t>
      </w:r>
      <w:r>
        <w:t>O</w:t>
      </w:r>
      <w:r w:rsidRPr="00F476EA">
        <w:rPr>
          <w:vertAlign w:val="subscript"/>
        </w:rPr>
        <w:t>2</w:t>
      </w:r>
      <w:r>
        <w:t xml:space="preserve"> shows the most balanced behavior, combining large reversible capacity, improved cycling stability and strong rate performance, indicating that the Ni/Mg ratio controls not only the amount of oxygen redox but also the ability of the framework to tolerate it.</w:t>
      </w:r>
    </w:p>
    <w:p w14:paraId="619D0FFD" w14:textId="79408B15" w:rsidR="00917A74" w:rsidRDefault="00000000">
      <w:pPr>
        <w:spacing w:after="60"/>
        <w:jc w:val="both"/>
      </w:pPr>
      <w:r>
        <w:t>To connect the electrochemical response with dynamic structural changes, operando X-ray diffraction and operando Ni/Mn K-edge X-ray absorption spectroscopy</w:t>
      </w:r>
      <w:r w:rsidR="000C2320">
        <w:t xml:space="preserve"> (XAS)</w:t>
      </w:r>
      <w:r>
        <w:t xml:space="preserve"> were used as central diagnostic tools. Operando diffraction follows the high-voltage evolution of the P2 framework and reveals a reversible P2-OP4-type structural transformation during deep </w:t>
      </w:r>
      <w:proofErr w:type="spellStart"/>
      <w:r>
        <w:t>desodiation</w:t>
      </w:r>
      <w:proofErr w:type="spellEnd"/>
      <w:r>
        <w:t>. At the same time, transition-metal K-edge XAS separates the cationic redox contribution from the additional high-voltage charge compensation, showing that the observed capacity cannot be explained by transition-metal oxidation alone. These operando measurements directly align the electrochemical signature with the structural motion of the cathode under working conditions.</w:t>
      </w:r>
    </w:p>
    <w:p w14:paraId="617B3732" w14:textId="4AE68915" w:rsidR="00917A74" w:rsidRDefault="00000000">
      <w:pPr>
        <w:spacing w:after="60"/>
        <w:jc w:val="both"/>
      </w:pPr>
      <w:r>
        <w:t xml:space="preserve">Element-specific synchrotron spectroscopy further clarifies why the oxygen-redox process becomes active. Mg K-edge XANES/EXAFS </w:t>
      </w:r>
      <w:r w:rsidR="000C2320">
        <w:t xml:space="preserve">(X-ray absorption near edge spectroscopy/ </w:t>
      </w:r>
      <w:r w:rsidR="000C2320" w:rsidRPr="000C2320">
        <w:t>Extended X-ray Absorption Fine Structure</w:t>
      </w:r>
      <w:r w:rsidR="000C2320">
        <w:t>)</w:t>
      </w:r>
      <w:r w:rsidR="00D44B41">
        <w:t xml:space="preserve"> </w:t>
      </w:r>
      <w:r>
        <w:t>indicates that Mg</w:t>
      </w:r>
      <w:r w:rsidRPr="00725439">
        <w:rPr>
          <w:vertAlign w:val="superscript"/>
        </w:rPr>
        <w:t>2+</w:t>
      </w:r>
      <w:r>
        <w:t xml:space="preserve"> migrates from the transition-metal layer toward the alkali-metal layer at high voltage and partially returns during discharge. This reversible out-of-plane migration creates local vacancy environments in the transition-metal layer, which can promote the formation of oxidized oxygen species. O K-edge resonant inelastic X-ray scattering</w:t>
      </w:r>
      <w:r w:rsidR="000C2320">
        <w:t xml:space="preserve"> (RIXS) and O K-edge soft XAS</w:t>
      </w:r>
      <w:r>
        <w:t xml:space="preserve"> </w:t>
      </w:r>
      <w:r w:rsidR="00A106C3">
        <w:t xml:space="preserve">provide </w:t>
      </w:r>
      <w:r>
        <w:t xml:space="preserve">direct evidence for this oxygen-redox activity and </w:t>
      </w:r>
      <w:r w:rsidR="00A106C3">
        <w:t xml:space="preserve">track </w:t>
      </w:r>
      <w:r>
        <w:t>its evolution during cycling, showing that the oxygen-redox fingerprint strengthens during the early cycles before weakening after prolonged operation.</w:t>
      </w:r>
    </w:p>
    <w:p w14:paraId="4F0174A5" w14:textId="0EEE07CC" w:rsidR="00917A74" w:rsidRDefault="00000000">
      <w:pPr>
        <w:spacing w:after="60"/>
        <w:jc w:val="both"/>
      </w:pPr>
      <w:r>
        <w:t>The emerging picture is that oxygen redox in Mg-doped P2 cathodes is not an isolated capacity contribution, but a dynamic electrochemical-structural process governed by cation migration, phase transformation</w:t>
      </w:r>
      <w:r w:rsidR="00A106C3">
        <w:t>,</w:t>
      </w:r>
      <w:r>
        <w:t xml:space="preserve"> and local oxygen chemistry. By combining operando structural monitoring with element-selective redox probes, this contribution highlights a route to convert oxygen redox from a degradation-prone reaction into a controllable design principle for durable, high-energy sodium-ion cathodes.</w:t>
      </w:r>
    </w:p>
    <w:p w14:paraId="0A3B48F3" w14:textId="34B57C14" w:rsidR="00136DF0" w:rsidRPr="00737918" w:rsidRDefault="009A0BC5" w:rsidP="002E3523">
      <w:pPr>
        <w:spacing w:after="60"/>
        <w:jc w:val="both"/>
        <w:rPr>
          <w:b/>
          <w:bCs/>
          <w:lang w:val="de-DE"/>
        </w:rPr>
      </w:pPr>
      <w:r w:rsidRPr="00737918">
        <w:rPr>
          <w:b/>
          <w:bCs/>
          <w:lang w:val="de-DE"/>
        </w:rPr>
        <w:t>References:</w:t>
      </w:r>
    </w:p>
    <w:p w14:paraId="576B04B7" w14:textId="0925DA21" w:rsidR="009A0BC5" w:rsidRPr="00737918" w:rsidRDefault="009A0BC5" w:rsidP="00737918">
      <w:pPr>
        <w:pStyle w:val="Bibliography"/>
        <w:spacing w:line="240" w:lineRule="auto"/>
        <w:rPr>
          <w:lang w:val="en-GB"/>
        </w:rPr>
      </w:pPr>
      <w:r w:rsidRPr="00737918">
        <w:rPr>
          <w:lang w:val="de-DE"/>
        </w:rPr>
        <w:t>1.</w:t>
      </w:r>
      <w:r w:rsidRPr="00737918">
        <w:rPr>
          <w:lang w:val="de-DE"/>
        </w:rPr>
        <w:tab/>
        <w:t xml:space="preserve">Vergnet, J. </w:t>
      </w:r>
      <w:r w:rsidRPr="00737918">
        <w:rPr>
          <w:i/>
          <w:iCs/>
          <w:lang w:val="de-DE"/>
        </w:rPr>
        <w:t>et al</w:t>
      </w:r>
      <w:r>
        <w:rPr>
          <w:i/>
          <w:iCs/>
          <w:lang w:val="de-DE"/>
        </w:rPr>
        <w:t>.</w:t>
      </w:r>
      <w:r w:rsidRPr="00737918">
        <w:rPr>
          <w:lang w:val="de-DE"/>
        </w:rPr>
        <w:t xml:space="preserve"> </w:t>
      </w:r>
      <w:r w:rsidRPr="00737918">
        <w:rPr>
          <w:i/>
          <w:iCs/>
          <w:lang w:val="en-GB"/>
        </w:rPr>
        <w:t>Joule</w:t>
      </w:r>
      <w:r w:rsidRPr="00737918">
        <w:rPr>
          <w:lang w:val="en-GB"/>
        </w:rPr>
        <w:t xml:space="preserve"> </w:t>
      </w:r>
      <w:r w:rsidRPr="00737918">
        <w:rPr>
          <w:b/>
          <w:bCs/>
          <w:lang w:val="en-GB"/>
        </w:rPr>
        <w:t>4</w:t>
      </w:r>
      <w:r w:rsidRPr="00737918">
        <w:rPr>
          <w:lang w:val="en-GB"/>
        </w:rPr>
        <w:t>, 420–434 (2020).</w:t>
      </w:r>
    </w:p>
    <w:p w14:paraId="3FA0C735" w14:textId="0C2DD2E6" w:rsidR="009A0BC5" w:rsidRPr="009A0BC5" w:rsidRDefault="009A0BC5" w:rsidP="00737918">
      <w:pPr>
        <w:pStyle w:val="Bibliography"/>
        <w:spacing w:line="240" w:lineRule="auto"/>
      </w:pPr>
      <w:r w:rsidRPr="009A0BC5">
        <w:t>2.</w:t>
      </w:r>
      <w:r w:rsidRPr="009A0BC5">
        <w:tab/>
      </w:r>
      <w:proofErr w:type="spellStart"/>
      <w:r w:rsidRPr="009A0BC5">
        <w:t>Barruna</w:t>
      </w:r>
      <w:proofErr w:type="spellEnd"/>
      <w:r w:rsidRPr="009A0BC5">
        <w:t xml:space="preserve">, E. </w:t>
      </w:r>
      <w:r w:rsidRPr="009A0BC5">
        <w:rPr>
          <w:i/>
          <w:iCs/>
        </w:rPr>
        <w:t>et al.</w:t>
      </w:r>
      <w:r w:rsidRPr="009A0BC5">
        <w:t xml:space="preserve"> S </w:t>
      </w:r>
      <w:r w:rsidRPr="009A0BC5">
        <w:rPr>
          <w:i/>
          <w:iCs/>
        </w:rPr>
        <w:t>Nano Energy</w:t>
      </w:r>
      <w:r w:rsidRPr="009A0BC5">
        <w:t xml:space="preserve"> </w:t>
      </w:r>
      <w:r w:rsidRPr="009A0BC5">
        <w:rPr>
          <w:b/>
          <w:bCs/>
        </w:rPr>
        <w:t>150</w:t>
      </w:r>
      <w:r w:rsidRPr="009A0BC5">
        <w:t>, 111787 (2026).</w:t>
      </w:r>
    </w:p>
    <w:p w14:paraId="16071738" w14:textId="550069CA" w:rsidR="009A0BC5" w:rsidRPr="009A0BC5" w:rsidRDefault="009A0BC5" w:rsidP="00737918">
      <w:pPr>
        <w:pStyle w:val="Bibliography"/>
        <w:spacing w:line="240" w:lineRule="auto"/>
      </w:pPr>
      <w:r w:rsidRPr="009A0BC5">
        <w:t>3.</w:t>
      </w:r>
      <w:r w:rsidRPr="009A0BC5">
        <w:tab/>
        <w:t xml:space="preserve">Boivin, E. </w:t>
      </w:r>
      <w:r w:rsidRPr="009A0BC5">
        <w:rPr>
          <w:i/>
          <w:iCs/>
        </w:rPr>
        <w:t>et al.</w:t>
      </w:r>
      <w:r w:rsidRPr="009A0BC5">
        <w:t xml:space="preserve"> </w:t>
      </w:r>
      <w:r w:rsidRPr="009A0BC5">
        <w:rPr>
          <w:i/>
          <w:iCs/>
        </w:rPr>
        <w:t>Joule</w:t>
      </w:r>
      <w:r w:rsidRPr="009A0BC5">
        <w:t xml:space="preserve"> </w:t>
      </w:r>
      <w:r w:rsidRPr="009A0BC5">
        <w:rPr>
          <w:b/>
          <w:bCs/>
        </w:rPr>
        <w:t>5</w:t>
      </w:r>
      <w:r w:rsidRPr="009A0BC5">
        <w:t>, 1267–1280 (2021).</w:t>
      </w:r>
    </w:p>
    <w:p w14:paraId="7C218834" w14:textId="77777777" w:rsidR="00136DF0" w:rsidRDefault="00136DF0" w:rsidP="009A0BC5">
      <w:pPr>
        <w:spacing w:after="60"/>
        <w:jc w:val="both"/>
      </w:pPr>
    </w:p>
    <w:sectPr w:rsidR="00136DF0" w:rsidSect="00F97641">
      <w:footnotePr>
        <w:numRestart w:val="eachSect"/>
      </w:footnotePr>
      <w:endnotePr>
        <w:numFmt w:val="decimal"/>
      </w:endnotePr>
      <w:pgSz w:w="11906" w:h="16838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9C813" w14:textId="77777777" w:rsidR="00626592" w:rsidRDefault="00626592" w:rsidP="000C2320">
      <w:r>
        <w:separator/>
      </w:r>
    </w:p>
  </w:endnote>
  <w:endnote w:type="continuationSeparator" w:id="0">
    <w:p w14:paraId="417C0C45" w14:textId="77777777" w:rsidR="00626592" w:rsidRDefault="00626592" w:rsidP="000C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7AFEA" w14:textId="77777777" w:rsidR="00626592" w:rsidRDefault="00626592" w:rsidP="000C2320">
      <w:r>
        <w:separator/>
      </w:r>
    </w:p>
  </w:footnote>
  <w:footnote w:type="continuationSeparator" w:id="0">
    <w:p w14:paraId="2403D35A" w14:textId="77777777" w:rsidR="00626592" w:rsidRDefault="00626592" w:rsidP="000C2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74637"/>
    <w:rsid w:val="000C2320"/>
    <w:rsid w:val="00136DF0"/>
    <w:rsid w:val="0022682B"/>
    <w:rsid w:val="002E3523"/>
    <w:rsid w:val="00325004"/>
    <w:rsid w:val="003759D8"/>
    <w:rsid w:val="00536366"/>
    <w:rsid w:val="00550086"/>
    <w:rsid w:val="005E031A"/>
    <w:rsid w:val="00626592"/>
    <w:rsid w:val="006827FF"/>
    <w:rsid w:val="00685C1A"/>
    <w:rsid w:val="00725439"/>
    <w:rsid w:val="00737918"/>
    <w:rsid w:val="00797F46"/>
    <w:rsid w:val="008069E6"/>
    <w:rsid w:val="00843735"/>
    <w:rsid w:val="00917A74"/>
    <w:rsid w:val="009A0BC5"/>
    <w:rsid w:val="00A106C3"/>
    <w:rsid w:val="00AD47B6"/>
    <w:rsid w:val="00C85775"/>
    <w:rsid w:val="00D44B41"/>
    <w:rsid w:val="00D65544"/>
    <w:rsid w:val="00E0716D"/>
    <w:rsid w:val="00E21C12"/>
    <w:rsid w:val="00F476EA"/>
    <w:rsid w:val="00F97641"/>
    <w:rsid w:val="00FB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3E1ED"/>
  <w14:defaultImageDpi w14:val="300"/>
  <w15:docId w15:val="{AA41FECE-149B-4EDA-9485-918F6A48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3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320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0C23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320"/>
    <w:rPr>
      <w:snapToGrid w:val="0"/>
    </w:rPr>
  </w:style>
  <w:style w:type="paragraph" w:styleId="Revision">
    <w:name w:val="Revision"/>
    <w:hidden/>
    <w:uiPriority w:val="99"/>
    <w:semiHidden/>
    <w:rsid w:val="00FB0A02"/>
    <w:rPr>
      <w:snapToGrid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B0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0A02"/>
  </w:style>
  <w:style w:type="character" w:customStyle="1" w:styleId="CommentTextChar">
    <w:name w:val="Comment Text Char"/>
    <w:basedOn w:val="DefaultParagraphFont"/>
    <w:link w:val="CommentText"/>
    <w:uiPriority w:val="99"/>
    <w:rsid w:val="00FB0A0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A02"/>
    <w:rPr>
      <w:b/>
      <w:bCs/>
      <w:snapToGrid w:val="0"/>
    </w:rPr>
  </w:style>
  <w:style w:type="paragraph" w:styleId="Bibliography">
    <w:name w:val="Bibliography"/>
    <w:basedOn w:val="Normal"/>
    <w:next w:val="Normal"/>
    <w:uiPriority w:val="37"/>
    <w:unhideWhenUsed/>
    <w:rsid w:val="009A0BC5"/>
    <w:pPr>
      <w:tabs>
        <w:tab w:val="left" w:pos="264"/>
      </w:tabs>
      <w:spacing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Soumik Kumar</cp:lastModifiedBy>
  <cp:revision>4</cp:revision>
  <cp:lastPrinted>2013-10-21T12:07:00Z</cp:lastPrinted>
  <dcterms:created xsi:type="dcterms:W3CDTF">2026-05-31T21:10:00Z</dcterms:created>
  <dcterms:modified xsi:type="dcterms:W3CDTF">2026-05-31T22:41:00Z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39f87ba4-2378-4aca-af7b-79ff7fa2362a</vt:lpwstr>
  </property>
  <property fmtid="{D5CDD505-2E9C-101B-9397-08002B2CF9AE}" pid="3" name="ZOTERO_PREF_1">
    <vt:lpwstr>&lt;data data-version="3" zotero-version="7.0.32"&gt;&lt;session id="K21J2Aor"/&gt;&lt;style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4" name="ZOTERO_PREF_2">
    <vt:lpwstr>ons" value="true"/&gt;&lt;/prefs&gt;&lt;/data&gt;</vt:lpwstr>
  </property>
</Properties>
</file>