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93" w:rsidRPr="00E75793" w:rsidRDefault="00E75793" w:rsidP="00E75793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</w:rPr>
      </w:pPr>
      <w:r w:rsidRPr="00E75793">
        <w:rPr>
          <w:b/>
          <w:sz w:val="28"/>
          <w:szCs w:val="28"/>
        </w:rPr>
        <w:t xml:space="preserve">Operando </w:t>
      </w:r>
      <w:r>
        <w:rPr>
          <w:b/>
          <w:sz w:val="28"/>
          <w:szCs w:val="28"/>
        </w:rPr>
        <w:t>I</w:t>
      </w:r>
      <w:r w:rsidRPr="00E75793">
        <w:rPr>
          <w:b/>
          <w:sz w:val="28"/>
          <w:szCs w:val="28"/>
        </w:rPr>
        <w:t xml:space="preserve">nvestigation of </w:t>
      </w:r>
      <w:r>
        <w:rPr>
          <w:b/>
          <w:sz w:val="28"/>
          <w:szCs w:val="28"/>
        </w:rPr>
        <w:t>S</w:t>
      </w:r>
      <w:r w:rsidRPr="00E75793">
        <w:rPr>
          <w:b/>
          <w:sz w:val="28"/>
          <w:szCs w:val="28"/>
        </w:rPr>
        <w:t xml:space="preserve">tructural </w:t>
      </w:r>
      <w:r>
        <w:rPr>
          <w:b/>
          <w:sz w:val="28"/>
          <w:szCs w:val="28"/>
        </w:rPr>
        <w:t>E</w:t>
      </w:r>
      <w:r w:rsidRPr="00E75793">
        <w:rPr>
          <w:b/>
          <w:sz w:val="28"/>
          <w:szCs w:val="28"/>
        </w:rPr>
        <w:t xml:space="preserve">volution in </w:t>
      </w:r>
      <w:r>
        <w:rPr>
          <w:b/>
          <w:sz w:val="28"/>
          <w:szCs w:val="28"/>
        </w:rPr>
        <w:t>I</w:t>
      </w:r>
      <w:r w:rsidRPr="00E75793">
        <w:rPr>
          <w:b/>
          <w:sz w:val="28"/>
          <w:szCs w:val="28"/>
        </w:rPr>
        <w:t xml:space="preserve">ridium-decorated </w:t>
      </w:r>
      <w:r>
        <w:rPr>
          <w:b/>
          <w:sz w:val="28"/>
          <w:szCs w:val="28"/>
        </w:rPr>
        <w:t>T</w:t>
      </w:r>
      <w:r w:rsidRPr="00E75793">
        <w:rPr>
          <w:b/>
          <w:sz w:val="28"/>
          <w:szCs w:val="28"/>
        </w:rPr>
        <w:t xml:space="preserve">itanium-based PEMWE </w:t>
      </w:r>
      <w:r>
        <w:rPr>
          <w:b/>
          <w:sz w:val="28"/>
          <w:szCs w:val="28"/>
        </w:rPr>
        <w:t>C</w:t>
      </w:r>
      <w:r w:rsidRPr="00E75793">
        <w:rPr>
          <w:b/>
          <w:sz w:val="28"/>
          <w:szCs w:val="28"/>
        </w:rPr>
        <w:t>atalysts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E75793" w:rsidRPr="0098654B" w:rsidRDefault="00E75793" w:rsidP="00E75793">
      <w:pPr>
        <w:jc w:val="center"/>
        <w:rPr>
          <w:vertAlign w:val="superscript"/>
        </w:rPr>
      </w:pPr>
      <w:proofErr w:type="spellStart"/>
      <w:r w:rsidRPr="00E75793">
        <w:rPr>
          <w:u w:val="single"/>
        </w:rPr>
        <w:t>Yevheniia</w:t>
      </w:r>
      <w:proofErr w:type="spellEnd"/>
      <w:r w:rsidRPr="00E75793">
        <w:rPr>
          <w:u w:val="single"/>
        </w:rPr>
        <w:t xml:space="preserve"> Lobko</w:t>
      </w:r>
      <w:r w:rsidR="0098654B">
        <w:rPr>
          <w:u w:val="single"/>
          <w:vertAlign w:val="superscript"/>
        </w:rPr>
        <w:t>1</w:t>
      </w:r>
      <w:r w:rsidRPr="00E75793">
        <w:t xml:space="preserve">, </w:t>
      </w:r>
      <w:r w:rsidRPr="0098654B">
        <w:t>Marco Bogar</w:t>
      </w:r>
      <w:r w:rsidR="0098654B" w:rsidRPr="0098654B">
        <w:rPr>
          <w:vertAlign w:val="superscript"/>
        </w:rPr>
        <w:t>2</w:t>
      </w:r>
      <w:r w:rsidRPr="0098654B">
        <w:t xml:space="preserve">, </w:t>
      </w:r>
      <w:proofErr w:type="spellStart"/>
      <w:r w:rsidRPr="0098654B">
        <w:t>Yurii</w:t>
      </w:r>
      <w:proofErr w:type="spellEnd"/>
      <w:r w:rsidRPr="0098654B">
        <w:t> Yakovlev</w:t>
      </w:r>
      <w:r w:rsidR="0098654B" w:rsidRPr="0098654B">
        <w:rPr>
          <w:vertAlign w:val="superscript"/>
        </w:rPr>
        <w:t>1</w:t>
      </w:r>
      <w:r w:rsidRPr="0098654B">
        <w:t>, Lucinda Blanco-Redondo</w:t>
      </w:r>
      <w:r w:rsidR="0098654B" w:rsidRPr="0098654B">
        <w:rPr>
          <w:vertAlign w:val="superscript"/>
        </w:rPr>
        <w:t>1</w:t>
      </w:r>
      <w:r w:rsidRPr="0098654B">
        <w:t xml:space="preserve">, </w:t>
      </w:r>
      <w:proofErr w:type="spellStart"/>
      <w:r w:rsidRPr="0098654B">
        <w:t>Jaroslava</w:t>
      </w:r>
      <w:proofErr w:type="spellEnd"/>
      <w:r w:rsidRPr="0098654B">
        <w:t xml:space="preserve"> Nováková</w:t>
      </w:r>
      <w:r w:rsidR="0098654B" w:rsidRPr="0098654B">
        <w:rPr>
          <w:vertAlign w:val="superscript"/>
        </w:rPr>
        <w:t>1</w:t>
      </w:r>
      <w:r w:rsidRPr="0098654B">
        <w:t>, Michal Mazur</w:t>
      </w:r>
      <w:r w:rsidR="00337D63">
        <w:rPr>
          <w:vertAlign w:val="superscript"/>
        </w:rPr>
        <w:t>3</w:t>
      </w:r>
      <w:r w:rsidRPr="0098654B">
        <w:t>, Heinz Amenitsch</w:t>
      </w:r>
      <w:r w:rsidR="00C51C46">
        <w:rPr>
          <w:vertAlign w:val="superscript"/>
        </w:rPr>
        <w:t>4</w:t>
      </w:r>
      <w:r w:rsidR="00337D63">
        <w:rPr>
          <w:vertAlign w:val="superscript"/>
        </w:rPr>
        <w:t>,5</w:t>
      </w:r>
      <w:r w:rsidRPr="0098654B">
        <w:t>, Iva Matolínová</w:t>
      </w:r>
      <w:r w:rsidR="0098654B" w:rsidRPr="0098654B">
        <w:rPr>
          <w:vertAlign w:val="superscript"/>
        </w:rPr>
        <w:t>1</w:t>
      </w:r>
    </w:p>
    <w:p w:rsidR="00E75793" w:rsidRPr="0098654B" w:rsidRDefault="00337D63" w:rsidP="00E75793">
      <w:pPr>
        <w:autoSpaceDE w:val="0"/>
        <w:autoSpaceDN w:val="0"/>
        <w:adjustRightInd w:val="0"/>
        <w:jc w:val="center"/>
        <w:rPr>
          <w:i/>
        </w:rPr>
      </w:pPr>
      <w:r>
        <w:rPr>
          <w:i/>
          <w:vertAlign w:val="superscript"/>
        </w:rPr>
        <w:t>1</w:t>
      </w:r>
      <w:r w:rsidR="00E75793" w:rsidRPr="0098654B">
        <w:rPr>
          <w:i/>
        </w:rPr>
        <w:t xml:space="preserve">Department of Surface and Plasma Science, </w:t>
      </w:r>
      <w:r w:rsidR="00E75793" w:rsidRPr="0098654B">
        <w:rPr>
          <w:i/>
          <w:iCs/>
        </w:rPr>
        <w:t xml:space="preserve">Faculty of Mathematics and Physics, </w:t>
      </w:r>
      <w:r w:rsidR="00E75793" w:rsidRPr="0098654B">
        <w:rPr>
          <w:i/>
        </w:rPr>
        <w:t xml:space="preserve">Charles University, V </w:t>
      </w:r>
      <w:proofErr w:type="spellStart"/>
      <w:r w:rsidR="00E75793" w:rsidRPr="0098654B">
        <w:rPr>
          <w:i/>
        </w:rPr>
        <w:t>Holešovičkách</w:t>
      </w:r>
      <w:proofErr w:type="spellEnd"/>
      <w:r w:rsidR="00E75793" w:rsidRPr="0098654B">
        <w:rPr>
          <w:i/>
        </w:rPr>
        <w:t xml:space="preserve"> 2, 180 00, Prague 8, Czech Republic</w:t>
      </w:r>
    </w:p>
    <w:p w:rsidR="00E75793" w:rsidRPr="00E75793" w:rsidRDefault="00E75793" w:rsidP="00E75793">
      <w:pPr>
        <w:autoSpaceDE w:val="0"/>
        <w:autoSpaceDN w:val="0"/>
        <w:adjustRightInd w:val="0"/>
        <w:jc w:val="center"/>
        <w:rPr>
          <w:i/>
          <w:lang w:val="it-IT"/>
        </w:rPr>
      </w:pPr>
      <w:r w:rsidRPr="00E75793">
        <w:rPr>
          <w:i/>
          <w:lang w:val="it-IT"/>
        </w:rPr>
        <w:t>e-mail: yevheniia.lobko@matfyz.cuni.cz</w:t>
      </w:r>
    </w:p>
    <w:p w:rsidR="00E75793" w:rsidRPr="00E75793" w:rsidRDefault="00337D63" w:rsidP="00E75793">
      <w:pPr>
        <w:autoSpaceDE w:val="0"/>
        <w:autoSpaceDN w:val="0"/>
        <w:adjustRightInd w:val="0"/>
        <w:jc w:val="center"/>
        <w:rPr>
          <w:i/>
          <w:iCs/>
        </w:rPr>
      </w:pPr>
      <w:r>
        <w:rPr>
          <w:i/>
          <w:iCs/>
          <w:vertAlign w:val="superscript"/>
        </w:rPr>
        <w:t>2</w:t>
      </w:r>
      <w:r w:rsidR="00E75793" w:rsidRPr="00E75793">
        <w:rPr>
          <w:i/>
          <w:iCs/>
        </w:rPr>
        <w:t>Department of Engineering and Architecture, University of Trieste, Via Alfonso Valerio 6/1, 34127, Trieste, Italy</w:t>
      </w:r>
    </w:p>
    <w:p w:rsidR="00E75793" w:rsidRPr="00E75793" w:rsidRDefault="00337D63" w:rsidP="00E75793">
      <w:pPr>
        <w:jc w:val="center"/>
        <w:rPr>
          <w:i/>
        </w:rPr>
      </w:pPr>
      <w:r>
        <w:rPr>
          <w:i/>
          <w:vertAlign w:val="superscript"/>
        </w:rPr>
        <w:t>3</w:t>
      </w:r>
      <w:r w:rsidR="00E75793" w:rsidRPr="00E75793">
        <w:rPr>
          <w:i/>
        </w:rPr>
        <w:t xml:space="preserve">Department of Physical and Macromolecular Chemistry, Faculty of Science, Charles University, </w:t>
      </w:r>
      <w:proofErr w:type="spellStart"/>
      <w:r w:rsidR="00E75793" w:rsidRPr="00E75793">
        <w:rPr>
          <w:i/>
        </w:rPr>
        <w:t>Hlavova</w:t>
      </w:r>
      <w:proofErr w:type="spellEnd"/>
      <w:r w:rsidR="00E75793" w:rsidRPr="00E75793">
        <w:rPr>
          <w:i/>
        </w:rPr>
        <w:t xml:space="preserve"> 8, 128 00, Prague 2, Czech Republic</w:t>
      </w:r>
    </w:p>
    <w:p w:rsidR="00E75793" w:rsidRPr="00E75793" w:rsidRDefault="00337D63" w:rsidP="00E75793">
      <w:pPr>
        <w:autoSpaceDE w:val="0"/>
        <w:autoSpaceDN w:val="0"/>
        <w:adjustRightInd w:val="0"/>
        <w:jc w:val="center"/>
        <w:rPr>
          <w:i/>
          <w:iCs/>
          <w:lang w:val="it-IT"/>
        </w:rPr>
      </w:pPr>
      <w:r>
        <w:rPr>
          <w:i/>
          <w:iCs/>
          <w:vertAlign w:val="superscript"/>
          <w:lang w:val="it-IT"/>
        </w:rPr>
        <w:t>4</w:t>
      </w:r>
      <w:r w:rsidR="00E75793" w:rsidRPr="00E75793">
        <w:rPr>
          <w:i/>
          <w:iCs/>
          <w:lang w:val="it-IT"/>
        </w:rPr>
        <w:t>ELETTRA - Sincrotrone Trieste S.C.p.A., SS 14 - km 163,5, 34149, Basovizza, Trieste, Italy</w:t>
      </w:r>
    </w:p>
    <w:p w:rsidR="00E75793" w:rsidRPr="00E75793" w:rsidRDefault="00337D63" w:rsidP="00E75793">
      <w:pPr>
        <w:pStyle w:val="BodyText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GoBack"/>
      <w:bookmarkEnd w:id="0"/>
      <w:r>
        <w:rPr>
          <w:rFonts w:ascii="Times New Roman" w:eastAsia="CharisSIL" w:hAnsi="Times New Roman" w:cs="Times New Roman"/>
          <w:b/>
          <w:i/>
          <w:kern w:val="0"/>
          <w:sz w:val="20"/>
          <w:szCs w:val="20"/>
          <w:vertAlign w:val="superscript"/>
          <w:lang w:bidi="ar-SA"/>
        </w:rPr>
        <w:t>5</w:t>
      </w:r>
      <w:r w:rsidR="00E75793" w:rsidRPr="00E75793">
        <w:rPr>
          <w:rFonts w:ascii="Times New Roman" w:hAnsi="Times New Roman" w:cs="Times New Roman"/>
          <w:i/>
          <w:iCs/>
          <w:kern w:val="0"/>
          <w:sz w:val="20"/>
          <w:szCs w:val="20"/>
          <w:lang w:bidi="ar-SA"/>
        </w:rPr>
        <w:t xml:space="preserve">Graz University of Technology, Institute of Inorganic Chemistry, </w:t>
      </w:r>
      <w:proofErr w:type="spellStart"/>
      <w:r w:rsidR="00E75793" w:rsidRPr="00E75793">
        <w:rPr>
          <w:rFonts w:ascii="Times New Roman" w:hAnsi="Times New Roman" w:cs="Times New Roman"/>
          <w:i/>
          <w:iCs/>
          <w:kern w:val="0"/>
          <w:sz w:val="20"/>
          <w:szCs w:val="20"/>
          <w:lang w:bidi="ar-SA"/>
        </w:rPr>
        <w:t>Stremayrgasse</w:t>
      </w:r>
      <w:proofErr w:type="spellEnd"/>
      <w:r w:rsidR="00E75793" w:rsidRPr="00E75793">
        <w:rPr>
          <w:rFonts w:ascii="Times New Roman" w:hAnsi="Times New Roman" w:cs="Times New Roman"/>
          <w:i/>
          <w:iCs/>
          <w:kern w:val="0"/>
          <w:sz w:val="20"/>
          <w:szCs w:val="20"/>
          <w:lang w:bidi="ar-SA"/>
        </w:rPr>
        <w:t xml:space="preserve"> 9, 8010, Graz, Austria</w:t>
      </w:r>
    </w:p>
    <w:p w:rsidR="00325004" w:rsidRDefault="00325004" w:rsidP="00E0716D">
      <w:pPr>
        <w:jc w:val="center"/>
      </w:pPr>
    </w:p>
    <w:p w:rsidR="00E75793" w:rsidRPr="00D87C3E" w:rsidRDefault="00E75793" w:rsidP="00E75793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D87C3E">
        <w:rPr>
          <w:sz w:val="20"/>
          <w:szCs w:val="20"/>
        </w:rPr>
        <w:t>Reducing iridium loading while maintaining long-term durability remains one of the major challenges for proton exchange membrane water electrolysis (PEMWE). Titanium-based conductive supports have been proposed to improve iridium utilization, however, their stability under highly oxidative anodic conditions remains poorly understood.</w:t>
      </w:r>
    </w:p>
    <w:p w:rsidR="00E75793" w:rsidRPr="00D87C3E" w:rsidRDefault="00E75793" w:rsidP="00E75793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D87C3E">
        <w:rPr>
          <w:sz w:val="20"/>
          <w:szCs w:val="20"/>
        </w:rPr>
        <w:t xml:space="preserve">Here, we investigate the degradation behavior of </w:t>
      </w:r>
      <w:proofErr w:type="spellStart"/>
      <w:r w:rsidRPr="00D87C3E">
        <w:rPr>
          <w:sz w:val="20"/>
          <w:szCs w:val="20"/>
        </w:rPr>
        <w:t>Ir</w:t>
      </w:r>
      <w:proofErr w:type="spellEnd"/>
      <w:r w:rsidRPr="00D87C3E">
        <w:rPr>
          <w:sz w:val="20"/>
          <w:szCs w:val="20"/>
        </w:rPr>
        <w:t xml:space="preserve"> nanoparticles supported on TiO</w:t>
      </w:r>
      <w:r w:rsidRPr="00D87C3E">
        <w:rPr>
          <w:sz w:val="20"/>
          <w:szCs w:val="20"/>
          <w:vertAlign w:val="subscript"/>
        </w:rPr>
        <w:t>2</w:t>
      </w:r>
      <w:r w:rsidRPr="00D87C3E">
        <w:rPr>
          <w:sz w:val="20"/>
          <w:szCs w:val="20"/>
        </w:rPr>
        <w:t xml:space="preserve">, </w:t>
      </w:r>
      <w:proofErr w:type="spellStart"/>
      <w:r w:rsidRPr="00D87C3E">
        <w:rPr>
          <w:sz w:val="20"/>
          <w:szCs w:val="20"/>
        </w:rPr>
        <w:t>TiN</w:t>
      </w:r>
      <w:proofErr w:type="spellEnd"/>
      <w:r w:rsidRPr="00D87C3E">
        <w:rPr>
          <w:sz w:val="20"/>
          <w:szCs w:val="20"/>
        </w:rPr>
        <w:t xml:space="preserve">, and </w:t>
      </w:r>
      <w:proofErr w:type="spellStart"/>
      <w:r w:rsidRPr="00D87C3E">
        <w:rPr>
          <w:sz w:val="20"/>
          <w:szCs w:val="20"/>
        </w:rPr>
        <w:t>TiC</w:t>
      </w:r>
      <w:proofErr w:type="spellEnd"/>
      <w:r w:rsidRPr="00D87C3E">
        <w:rPr>
          <w:sz w:val="20"/>
          <w:szCs w:val="20"/>
        </w:rPr>
        <w:t xml:space="preserve"> under accelerated PEMWE conditions by combining operando small- and wide-angle X-ray scattering (SAXS/WAXS) with comprehensive post-mortem analysis. Membrane electrode assemblies were subjected to a square-wave accelerated stress protocol between 0 and 2.0 V, while structural evolution was monitored in real time.</w:t>
      </w:r>
    </w:p>
    <w:p w:rsidR="00E75793" w:rsidRPr="00D87C3E" w:rsidRDefault="00E75793" w:rsidP="00E75793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D87C3E">
        <w:rPr>
          <w:sz w:val="20"/>
          <w:szCs w:val="20"/>
        </w:rPr>
        <w:t xml:space="preserve">Operando SAXS revealed limited changes in the size of </w:t>
      </w:r>
      <w:proofErr w:type="spellStart"/>
      <w:r w:rsidRPr="00D87C3E">
        <w:rPr>
          <w:sz w:val="20"/>
          <w:szCs w:val="20"/>
        </w:rPr>
        <w:t>Ir</w:t>
      </w:r>
      <w:proofErr w:type="spellEnd"/>
      <w:r w:rsidRPr="00D87C3E">
        <w:rPr>
          <w:sz w:val="20"/>
          <w:szCs w:val="20"/>
        </w:rPr>
        <w:t xml:space="preserve"> nanoparticles during cycling, indicating that particle growth is not the dominant degradation pathway under the investigated conditions. In contrast, pronounced support transformations were detected by WAXS and confirmed by post-mortem XPS, XAS, electron microscopy, and elemental analysis. </w:t>
      </w:r>
      <w:proofErr w:type="spellStart"/>
      <w:r w:rsidRPr="00D87C3E">
        <w:rPr>
          <w:sz w:val="20"/>
          <w:szCs w:val="20"/>
        </w:rPr>
        <w:t>TiC</w:t>
      </w:r>
      <w:proofErr w:type="spellEnd"/>
      <w:r w:rsidRPr="00D87C3E">
        <w:rPr>
          <w:sz w:val="20"/>
          <w:szCs w:val="20"/>
        </w:rPr>
        <w:t xml:space="preserve"> and </w:t>
      </w:r>
      <w:proofErr w:type="spellStart"/>
      <w:r w:rsidRPr="00D87C3E">
        <w:rPr>
          <w:sz w:val="20"/>
          <w:szCs w:val="20"/>
        </w:rPr>
        <w:t>TiN</w:t>
      </w:r>
      <w:proofErr w:type="spellEnd"/>
      <w:r w:rsidRPr="00D87C3E">
        <w:rPr>
          <w:sz w:val="20"/>
          <w:szCs w:val="20"/>
        </w:rPr>
        <w:t xml:space="preserve"> supports progressively oxidized toward TiO</w:t>
      </w:r>
      <w:r w:rsidRPr="00D87C3E">
        <w:rPr>
          <w:sz w:val="20"/>
          <w:szCs w:val="20"/>
          <w:vertAlign w:val="subscript"/>
        </w:rPr>
        <w:t>2</w:t>
      </w:r>
      <w:r w:rsidRPr="00D87C3E">
        <w:rPr>
          <w:sz w:val="20"/>
          <w:szCs w:val="20"/>
        </w:rPr>
        <w:t xml:space="preserve">-like phases, accompanied by structural degradation and migration of titanium species through the membrane electrode assembly. Among the investigated materials, </w:t>
      </w:r>
      <w:proofErr w:type="spellStart"/>
      <w:r w:rsidRPr="00D87C3E">
        <w:rPr>
          <w:sz w:val="20"/>
          <w:szCs w:val="20"/>
        </w:rPr>
        <w:t>TiN</w:t>
      </w:r>
      <w:proofErr w:type="spellEnd"/>
      <w:r w:rsidRPr="00D87C3E">
        <w:rPr>
          <w:sz w:val="20"/>
          <w:szCs w:val="20"/>
        </w:rPr>
        <w:t xml:space="preserve"> exhibited higher resistance to oxidation, whereas </w:t>
      </w:r>
      <w:proofErr w:type="spellStart"/>
      <w:r w:rsidRPr="00D87C3E">
        <w:rPr>
          <w:sz w:val="20"/>
          <w:szCs w:val="20"/>
        </w:rPr>
        <w:t>TiC</w:t>
      </w:r>
      <w:proofErr w:type="spellEnd"/>
      <w:r w:rsidRPr="00D87C3E">
        <w:rPr>
          <w:sz w:val="20"/>
          <w:szCs w:val="20"/>
        </w:rPr>
        <w:t xml:space="preserve"> showed the most extensive degradation.</w:t>
      </w:r>
    </w:p>
    <w:p w:rsidR="00E75793" w:rsidRPr="00D87C3E" w:rsidRDefault="00E75793" w:rsidP="00E75793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D87C3E">
        <w:rPr>
          <w:sz w:val="20"/>
          <w:szCs w:val="20"/>
        </w:rPr>
        <w:t>The combined operando and post-mortem results demonstrate that catalyst durability is governed primarily by the stability of the titanium-based support rather than by iridium dissolution or agglomeration. These findings provide direct insight into support-induced degradation mechanisms in PEMWE anodes and establish operando X-ray scattering as a powerful tool for linking catalyst structural evolution to electrochemical stability under realistic operating conditions.</w:t>
      </w:r>
    </w:p>
    <w:p w:rsidR="00E0716D" w:rsidRDefault="00E0716D" w:rsidP="00E75793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CharisSIL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30046"/>
    <w:rsid w:val="00167ED3"/>
    <w:rsid w:val="00325004"/>
    <w:rsid w:val="00337D63"/>
    <w:rsid w:val="00374A20"/>
    <w:rsid w:val="00536366"/>
    <w:rsid w:val="00685C1A"/>
    <w:rsid w:val="0098654B"/>
    <w:rsid w:val="00BD4AB9"/>
    <w:rsid w:val="00C51C46"/>
    <w:rsid w:val="00E0716D"/>
    <w:rsid w:val="00E75793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5487B1"/>
  <w14:defaultImageDpi w14:val="300"/>
  <w15:docId w15:val="{1C12CD77-7929-4150-B9DA-50775344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E75793"/>
    <w:pPr>
      <w:widowControl/>
      <w:spacing w:before="100" w:beforeAutospacing="1" w:after="100" w:afterAutospacing="1"/>
    </w:pPr>
    <w:rPr>
      <w:snapToGrid/>
      <w:sz w:val="24"/>
      <w:szCs w:val="24"/>
    </w:rPr>
  </w:style>
  <w:style w:type="paragraph" w:styleId="BodyText">
    <w:name w:val="Body Text"/>
    <w:basedOn w:val="Normal"/>
    <w:link w:val="BodyTextChar"/>
    <w:rsid w:val="00E75793"/>
    <w:pPr>
      <w:widowControl/>
      <w:suppressAutoHyphens/>
      <w:spacing w:after="140" w:line="276" w:lineRule="auto"/>
    </w:pPr>
    <w:rPr>
      <w:rFonts w:ascii="Liberation Serif" w:eastAsia="Noto Serif CJK SC" w:hAnsi="Liberation Serif" w:cs="Lohit Devanagari"/>
      <w:snapToGrid/>
      <w:kern w:val="2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E75793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E75793"/>
    <w:pPr>
      <w:widowControl/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Zhenia</cp:lastModifiedBy>
  <cp:revision>7</cp:revision>
  <cp:lastPrinted>2013-10-21T12:07:00Z</cp:lastPrinted>
  <dcterms:created xsi:type="dcterms:W3CDTF">2026-06-04T12:05:00Z</dcterms:created>
  <dcterms:modified xsi:type="dcterms:W3CDTF">2026-06-04T12:11:00Z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4465a053-722e-493d-8b38-65ed188351fd</vt:lpwstr>
  </property>
</Properties>
</file>