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60C7C" w14:textId="5B5AFC89" w:rsidR="00D9203A" w:rsidRPr="00D9203A" w:rsidRDefault="00CC595C" w:rsidP="00CC595C">
      <w:pPr>
        <w:jc w:val="center"/>
        <w:rPr>
          <w:b/>
          <w:sz w:val="28"/>
        </w:rPr>
      </w:pPr>
      <w:proofErr w:type="spellStart"/>
      <w:r w:rsidRPr="00CC595C">
        <w:rPr>
          <w:b/>
          <w:sz w:val="28"/>
        </w:rPr>
        <w:t>Voltammetric</w:t>
      </w:r>
      <w:proofErr w:type="spellEnd"/>
      <w:r w:rsidRPr="00CC595C">
        <w:rPr>
          <w:b/>
          <w:sz w:val="28"/>
        </w:rPr>
        <w:t xml:space="preserve"> Nitrate Detection on Copper-Modified 3D-Printed Carbon Electrodes</w:t>
      </w:r>
    </w:p>
    <w:p w14:paraId="367563FD" w14:textId="1DB9A9FF" w:rsidR="00325004" w:rsidRPr="00A86EB9" w:rsidRDefault="00325004" w:rsidP="00E0716D">
      <w:pPr>
        <w:jc w:val="center"/>
        <w:rPr>
          <w:b/>
          <w:sz w:val="28"/>
        </w:rPr>
      </w:pPr>
    </w:p>
    <w:p w14:paraId="5089B6C7" w14:textId="77777777" w:rsidR="00325004" w:rsidRPr="00A86EB9" w:rsidRDefault="00325004" w:rsidP="00E0716D">
      <w:pPr>
        <w:jc w:val="center"/>
        <w:rPr>
          <w:b/>
          <w:sz w:val="28"/>
        </w:rPr>
      </w:pPr>
    </w:p>
    <w:p w14:paraId="4E35D047" w14:textId="416E4AD6" w:rsidR="00325004" w:rsidRPr="00A80500" w:rsidRDefault="00D9203A" w:rsidP="00D9203A">
      <w:pPr>
        <w:jc w:val="center"/>
        <w:rPr>
          <w:lang w:val="pl-PL"/>
        </w:rPr>
      </w:pPr>
      <w:r w:rsidRPr="00A80500">
        <w:rPr>
          <w:u w:val="single"/>
          <w:lang w:val="pl-PL"/>
        </w:rPr>
        <w:t>Hamed Zafarani</w:t>
      </w:r>
      <w:r w:rsidRPr="00A80500">
        <w:rPr>
          <w:lang w:val="pl-PL"/>
        </w:rPr>
        <w:t>, Bartłomiej Hurny, Katarzyna Szwabińska,</w:t>
      </w:r>
      <w:r w:rsidR="00E04736" w:rsidRPr="00A80500">
        <w:rPr>
          <w:lang w:val="pl-PL"/>
        </w:rPr>
        <w:t xml:space="preserve"> Muthaiah Annalakshmi,</w:t>
      </w:r>
      <w:r w:rsidRPr="00A80500">
        <w:rPr>
          <w:lang w:val="pl-PL"/>
        </w:rPr>
        <w:t xml:space="preserve"> Łukasz Półtorak</w:t>
      </w:r>
    </w:p>
    <w:p w14:paraId="1DA9FDBC" w14:textId="77777777" w:rsidR="00D9203A" w:rsidRPr="00A80500" w:rsidRDefault="00D9203A" w:rsidP="00D9203A">
      <w:pPr>
        <w:jc w:val="center"/>
        <w:rPr>
          <w:lang w:val="pl-PL"/>
        </w:rPr>
      </w:pPr>
    </w:p>
    <w:p w14:paraId="4037469B" w14:textId="6A88BC3A" w:rsidR="00325004" w:rsidRDefault="00D9203A" w:rsidP="00D9203A">
      <w:pPr>
        <w:jc w:val="center"/>
        <w:rPr>
          <w:i/>
        </w:rPr>
      </w:pPr>
      <w:r w:rsidRPr="00D9203A">
        <w:rPr>
          <w:i/>
        </w:rPr>
        <w:t xml:space="preserve">University of Lodz, Faculty of Chemistry, Department of Inorganic and Analytical Chemistry, </w:t>
      </w:r>
      <w:proofErr w:type="spellStart"/>
      <w:r w:rsidRPr="00D9203A">
        <w:rPr>
          <w:i/>
        </w:rPr>
        <w:t>Electrochemistry</w:t>
      </w:r>
      <w:r w:rsidR="00741B50">
        <w:rPr>
          <w:i/>
        </w:rPr>
        <w:t>@</w:t>
      </w:r>
      <w:r w:rsidRPr="00D9203A">
        <w:rPr>
          <w:i/>
        </w:rPr>
        <w:t>Soft</w:t>
      </w:r>
      <w:proofErr w:type="spellEnd"/>
      <w:r w:rsidRPr="00D9203A">
        <w:rPr>
          <w:i/>
        </w:rPr>
        <w:t xml:space="preserve"> Interfaces Team, Tamka 12, 91-403 </w:t>
      </w:r>
      <w:r w:rsidR="00741B50">
        <w:rPr>
          <w:i/>
        </w:rPr>
        <w:t>Lodz</w:t>
      </w:r>
      <w:r w:rsidRPr="00D9203A">
        <w:rPr>
          <w:i/>
        </w:rPr>
        <w:t>, Poland</w:t>
      </w:r>
    </w:p>
    <w:p w14:paraId="1B99D4D9" w14:textId="77777777" w:rsidR="00D9203A" w:rsidRPr="00D9203A" w:rsidRDefault="00D9203A" w:rsidP="00D9203A">
      <w:pPr>
        <w:jc w:val="center"/>
        <w:rPr>
          <w:i/>
        </w:rPr>
      </w:pPr>
    </w:p>
    <w:p w14:paraId="239C6EE5" w14:textId="3630BC96" w:rsidR="00685C1A" w:rsidRPr="00685C1A" w:rsidRDefault="00D9203A" w:rsidP="00D9203A">
      <w:pPr>
        <w:jc w:val="center"/>
        <w:rPr>
          <w:i/>
        </w:rPr>
      </w:pPr>
      <w:r w:rsidRPr="00D9203A">
        <w:rPr>
          <w:i/>
        </w:rPr>
        <w:t>hamed.zafarani@edu.uni.lodz.pl</w:t>
      </w:r>
    </w:p>
    <w:p w14:paraId="43570A2D" w14:textId="77777777" w:rsidR="00325004" w:rsidRDefault="00325004" w:rsidP="00E0716D">
      <w:pPr>
        <w:jc w:val="center"/>
      </w:pPr>
    </w:p>
    <w:p w14:paraId="375E90B3" w14:textId="6C49078C" w:rsidR="00D9203A" w:rsidRDefault="00D9203A" w:rsidP="00D9203A">
      <w:pPr>
        <w:jc w:val="both"/>
      </w:pPr>
      <w:r>
        <w:t>Three-dimensional (3D) printing has emerged as a versatile and cost-effective approach for the fabrication of electrochemical devices, including electrodes for environmental, biological, and medical applications</w:t>
      </w:r>
      <w:r w:rsidR="00C52150">
        <w:t xml:space="preserve"> [1]</w:t>
      </w:r>
      <w:r>
        <w:t>. Among various additive manufacturing techniques, fused deposition modelling (FDM) is widely adopted due to its accessibility, low operational cost, and ability to produce complex geometries with high reproducibility. In this method, a thermoplastic filament is melted and extruded through a nozzle, depositing material layer by layer to construct three-dimensional structures. Conductive filaments composed of</w:t>
      </w:r>
      <w:r w:rsidR="00A70543">
        <w:t> </w:t>
      </w:r>
      <w:r>
        <w:t>carbon-based fillers dispersed within insulating polymers such as polylactic acid (PLA) enable the direct fabrication of composite electrochemical electrodes</w:t>
      </w:r>
      <w:r w:rsidR="006D4552">
        <w:t xml:space="preserve"> [2]</w:t>
      </w:r>
      <w:r>
        <w:t>.</w:t>
      </w:r>
    </w:p>
    <w:p w14:paraId="41E1E8B6" w14:textId="77777777" w:rsidR="00D9203A" w:rsidRDefault="00D9203A" w:rsidP="00D9203A">
      <w:pPr>
        <w:jc w:val="both"/>
      </w:pPr>
    </w:p>
    <w:p w14:paraId="12A9651D" w14:textId="771873EC" w:rsidR="00D9203A" w:rsidRDefault="00D9203A" w:rsidP="00D9203A">
      <w:pPr>
        <w:jc w:val="both"/>
      </w:pPr>
      <w:r>
        <w:t xml:space="preserve">The electrochemical performance of these electrodes is strongly influenced by surface characteristics, including morphology, roughness, and the distribution of conductive sites. </w:t>
      </w:r>
      <w:proofErr w:type="gramStart"/>
      <w:r>
        <w:t>Increased surface</w:t>
      </w:r>
      <w:proofErr w:type="gramEnd"/>
      <w:r>
        <w:t xml:space="preserve"> roughness enhances the exposure of electroactive carbon sites, particularly edge-plane structures, thereby improving electron transfer kinetics and current response. However, conductive thermoplastic materials generally exhibit significantly lower electrical conductivity than metallic electrodes, limiting their practical applications</w:t>
      </w:r>
      <w:r w:rsidR="006D4552">
        <w:t xml:space="preserve"> [3]</w:t>
      </w:r>
      <w:r>
        <w:t>.</w:t>
      </w:r>
    </w:p>
    <w:p w14:paraId="0798B898" w14:textId="77777777" w:rsidR="00D9203A" w:rsidRDefault="00D9203A" w:rsidP="00D9203A">
      <w:pPr>
        <w:jc w:val="both"/>
      </w:pPr>
    </w:p>
    <w:p w14:paraId="08EE5565" w14:textId="6F91868A" w:rsidR="00D9203A" w:rsidRDefault="00D9203A" w:rsidP="00D9203A">
      <w:pPr>
        <w:jc w:val="both"/>
      </w:pPr>
      <w:r>
        <w:t>To overcome this limitation, copper was selected as an electroplated material due to its excellent electrical conductivity and high catalytic activity toward nitrate reduction. In this study, a copper layer was deposited onto 3D-printed carbon electrodes to enhance both conductivity and electrocatalytic performance. The</w:t>
      </w:r>
      <w:r w:rsidR="00A70543">
        <w:t> </w:t>
      </w:r>
      <w:r>
        <w:t>results demonstrate that the copper-modified electrodes enable efficient electrochemical reduction of</w:t>
      </w:r>
      <w:r w:rsidR="00A70543">
        <w:t> </w:t>
      </w:r>
      <w:r>
        <w:t>nitrate across a broad concentration range, including both low and high concentrations.</w:t>
      </w:r>
    </w:p>
    <w:p w14:paraId="3A4EC3AE" w14:textId="77777777" w:rsidR="00D9203A" w:rsidRDefault="00D9203A" w:rsidP="00D9203A">
      <w:pPr>
        <w:jc w:val="both"/>
      </w:pPr>
    </w:p>
    <w:p w14:paraId="7AB5C8B1" w14:textId="290B727E" w:rsidR="00D9203A" w:rsidRDefault="00D9203A" w:rsidP="00D9203A">
      <w:pPr>
        <w:jc w:val="both"/>
      </w:pPr>
      <w:r>
        <w:t>The combination of additive manufacturing and copper electroplating presents a promising strategy for the development of customizable, high-performance electrochemical sensors for nitrate detection, with</w:t>
      </w:r>
      <w:r w:rsidR="00A70543">
        <w:t> </w:t>
      </w:r>
      <w:r>
        <w:t>potential applications in environmental monitoring.</w:t>
      </w:r>
    </w:p>
    <w:p w14:paraId="55A1E5C8" w14:textId="77777777" w:rsidR="00CC595C" w:rsidRDefault="00CC595C" w:rsidP="00D9203A">
      <w:pPr>
        <w:jc w:val="both"/>
      </w:pPr>
    </w:p>
    <w:p w14:paraId="7427385D" w14:textId="77777777" w:rsidR="00CC595C" w:rsidRDefault="00CC595C" w:rsidP="00D9203A">
      <w:pPr>
        <w:jc w:val="both"/>
      </w:pPr>
    </w:p>
    <w:p w14:paraId="60C9BB8D" w14:textId="506E5E3A" w:rsidR="00CC595C" w:rsidRDefault="00CC595C" w:rsidP="00D9203A">
      <w:pPr>
        <w:jc w:val="both"/>
      </w:pPr>
      <w:r>
        <w:t>References</w:t>
      </w:r>
    </w:p>
    <w:p w14:paraId="7D1A3770" w14:textId="1AA9DE2E" w:rsidR="00CC595C" w:rsidRDefault="006D4552" w:rsidP="006D4552">
      <w:pPr>
        <w:jc w:val="both"/>
      </w:pPr>
      <w:r>
        <w:t xml:space="preserve">[1] </w:t>
      </w:r>
      <w:r w:rsidRPr="006D4552">
        <w:t>T.</w:t>
      </w:r>
      <w:r w:rsidR="003E094C">
        <w:t xml:space="preserve"> </w:t>
      </w:r>
      <w:r w:rsidRPr="006D4552">
        <w:t>D.</w:t>
      </w:r>
      <w:r w:rsidR="003E094C">
        <w:t xml:space="preserve"> </w:t>
      </w:r>
      <w:r w:rsidRPr="006D4552">
        <w:t>Ngo,</w:t>
      </w:r>
      <w:r w:rsidR="003E094C">
        <w:t xml:space="preserve"> </w:t>
      </w:r>
      <w:r w:rsidRPr="006D4552">
        <w:t>A.</w:t>
      </w:r>
      <w:r w:rsidR="003E094C">
        <w:t xml:space="preserve"> </w:t>
      </w:r>
      <w:r w:rsidRPr="006D4552">
        <w:t>Kashani,</w:t>
      </w:r>
      <w:r w:rsidR="003E094C">
        <w:t xml:space="preserve"> </w:t>
      </w:r>
      <w:r w:rsidRPr="006D4552">
        <w:t>G.</w:t>
      </w:r>
      <w:r w:rsidR="003E094C">
        <w:t xml:space="preserve"> </w:t>
      </w:r>
      <w:proofErr w:type="spellStart"/>
      <w:r w:rsidRPr="006D4552">
        <w:t>Imbalzano</w:t>
      </w:r>
      <w:proofErr w:type="spellEnd"/>
      <w:r w:rsidRPr="006D4552">
        <w:t>,</w:t>
      </w:r>
      <w:r w:rsidR="003E094C">
        <w:t xml:space="preserve"> </w:t>
      </w:r>
      <w:r w:rsidRPr="006D4552">
        <w:t>K.</w:t>
      </w:r>
      <w:r w:rsidR="003E094C">
        <w:t xml:space="preserve"> </w:t>
      </w:r>
      <w:r w:rsidRPr="006D4552">
        <w:t>T.</w:t>
      </w:r>
      <w:r w:rsidR="003E094C">
        <w:t xml:space="preserve"> </w:t>
      </w:r>
      <w:r w:rsidRPr="006D4552">
        <w:t>Q.</w:t>
      </w:r>
      <w:r w:rsidR="003E094C">
        <w:t xml:space="preserve"> </w:t>
      </w:r>
      <w:r w:rsidRPr="006D4552">
        <w:t>Nguyen,</w:t>
      </w:r>
      <w:r w:rsidR="003E094C">
        <w:t xml:space="preserve"> </w:t>
      </w:r>
      <w:r w:rsidRPr="006D4552">
        <w:t>D.</w:t>
      </w:r>
      <w:r w:rsidR="003E094C">
        <w:t xml:space="preserve"> </w:t>
      </w:r>
      <w:r w:rsidRPr="006D4552">
        <w:t>Hui,</w:t>
      </w:r>
      <w:r w:rsidR="003E094C">
        <w:t xml:space="preserve"> </w:t>
      </w:r>
      <w:r w:rsidRPr="006D4552">
        <w:t>Additive</w:t>
      </w:r>
      <w:r w:rsidR="003E094C">
        <w:t xml:space="preserve"> </w:t>
      </w:r>
      <w:r w:rsidRPr="006D4552">
        <w:t>manufacturing</w:t>
      </w:r>
      <w:r w:rsidR="003E094C">
        <w:t xml:space="preserve"> </w:t>
      </w:r>
      <w:r w:rsidRPr="006D4552">
        <w:t xml:space="preserve">(3D printing): </w:t>
      </w:r>
      <w:r w:rsidR="00E13454">
        <w:t>A</w:t>
      </w:r>
      <w:r w:rsidR="00E13454" w:rsidRPr="006D4552">
        <w:t xml:space="preserve"> </w:t>
      </w:r>
      <w:r w:rsidRPr="006D4552">
        <w:t>review of materials, methods, applications and challenges, Compos. Part B Eng. 143 (2018) 172–196, https://doi.org/10.1016/j.compositesb.2018.02.012.</w:t>
      </w:r>
    </w:p>
    <w:p w14:paraId="36355730" w14:textId="565D6E35" w:rsidR="00D9203A" w:rsidRDefault="006D4552" w:rsidP="006D4552">
      <w:pPr>
        <w:jc w:val="both"/>
      </w:pPr>
      <w:r>
        <w:t xml:space="preserve">[2]    </w:t>
      </w:r>
      <w:r w:rsidRPr="006D4552">
        <w:t>C. Zhu, Z. Qi, V.</w:t>
      </w:r>
      <w:r w:rsidR="0002126D">
        <w:t xml:space="preserve"> </w:t>
      </w:r>
      <w:r w:rsidRPr="006D4552">
        <w:t>A. Beck, M. Luneau, J. Lattimer, W. Chen, M.</w:t>
      </w:r>
      <w:r w:rsidR="0002126D">
        <w:t xml:space="preserve"> </w:t>
      </w:r>
      <w:r w:rsidRPr="006D4552">
        <w:t>A. Worsley, J. Ye, E.</w:t>
      </w:r>
      <w:r w:rsidR="0002126D">
        <w:t xml:space="preserve"> </w:t>
      </w:r>
      <w:r w:rsidRPr="006D4552">
        <w:t xml:space="preserve">B. </w:t>
      </w:r>
      <w:proofErr w:type="spellStart"/>
      <w:r w:rsidRPr="006D4552">
        <w:t>Duoss</w:t>
      </w:r>
      <w:proofErr w:type="spellEnd"/>
      <w:r w:rsidRPr="006D4552">
        <w:t>, C.</w:t>
      </w:r>
      <w:r w:rsidR="00A70543">
        <w:t> </w:t>
      </w:r>
      <w:r w:rsidRPr="006D4552">
        <w:t>M. Spadaccini, C.</w:t>
      </w:r>
      <w:r w:rsidR="0002126D">
        <w:t xml:space="preserve"> </w:t>
      </w:r>
      <w:r w:rsidRPr="006D4552">
        <w:t xml:space="preserve">M. Friend, J. Biener, </w:t>
      </w:r>
      <w:proofErr w:type="gramStart"/>
      <w:r w:rsidRPr="006D4552">
        <w:t>Toward</w:t>
      </w:r>
      <w:proofErr w:type="gramEnd"/>
      <w:r w:rsidRPr="006D4552">
        <w:t xml:space="preserve"> digitally controlled catalyst architectures: </w:t>
      </w:r>
      <w:r w:rsidR="0002126D">
        <w:t>H</w:t>
      </w:r>
      <w:r w:rsidR="0002126D" w:rsidRPr="006D4552">
        <w:t xml:space="preserve">ierarchical </w:t>
      </w:r>
      <w:r w:rsidRPr="006D4552">
        <w:t>nanoporous gold via 3D printing, Sci. Adv. 4 (2018) eaas9459, https://doi.org/10.1126/sciadv.aas9459.</w:t>
      </w:r>
    </w:p>
    <w:p w14:paraId="72CBE9B5" w14:textId="2C240AFD" w:rsidR="00325004" w:rsidRDefault="006D4552" w:rsidP="006D4552">
      <w:pPr>
        <w:jc w:val="both"/>
      </w:pPr>
      <w:r>
        <w:t xml:space="preserve">[3] </w:t>
      </w:r>
      <w:r w:rsidRPr="006D4552">
        <w:t xml:space="preserve">E. Vaněčková, M. </w:t>
      </w:r>
      <w:proofErr w:type="spellStart"/>
      <w:r w:rsidRPr="006D4552">
        <w:t>Bouša</w:t>
      </w:r>
      <w:proofErr w:type="spellEnd"/>
      <w:r w:rsidRPr="006D4552">
        <w:t xml:space="preserve">, R. Sokolová, P. Moreno-García, P. Broekmann, V. </w:t>
      </w:r>
      <w:proofErr w:type="spellStart"/>
      <w:r w:rsidRPr="006D4552">
        <w:t>Shestivska</w:t>
      </w:r>
      <w:proofErr w:type="spellEnd"/>
      <w:r w:rsidRPr="006D4552">
        <w:t xml:space="preserve">, J. </w:t>
      </w:r>
      <w:proofErr w:type="spellStart"/>
      <w:r w:rsidRPr="006D4552">
        <w:t>Rathouský</w:t>
      </w:r>
      <w:proofErr w:type="spellEnd"/>
      <w:r w:rsidRPr="006D4552">
        <w:t xml:space="preserve">, M. Gál, T. </w:t>
      </w:r>
      <w:proofErr w:type="spellStart"/>
      <w:r w:rsidRPr="006D4552">
        <w:t>Sebechlebská</w:t>
      </w:r>
      <w:proofErr w:type="spellEnd"/>
      <w:r w:rsidRPr="006D4552">
        <w:t xml:space="preserve">, V. </w:t>
      </w:r>
      <w:proofErr w:type="spellStart"/>
      <w:r w:rsidRPr="006D4552">
        <w:t>Kolivoška</w:t>
      </w:r>
      <w:proofErr w:type="spellEnd"/>
      <w:r w:rsidRPr="006D4552">
        <w:t>, Copper electroplating of 3D printed composite electrodes, J.</w:t>
      </w:r>
      <w:r w:rsidR="00A70543">
        <w:t> </w:t>
      </w:r>
      <w:proofErr w:type="spellStart"/>
      <w:r w:rsidRPr="006D4552">
        <w:t>Electroanal</w:t>
      </w:r>
      <w:proofErr w:type="spellEnd"/>
      <w:r w:rsidRPr="006D4552">
        <w:t xml:space="preserve">. Chem. 858 (2020) 113763, </w:t>
      </w:r>
      <w:hyperlink r:id="rId7" w:tgtFrame="_new" w:history="1">
        <w:r w:rsidRPr="006D4552">
          <w:t>https://doi.org/10.1016/j.jelechem.2019.113763</w:t>
        </w:r>
      </w:hyperlink>
      <w:r w:rsidR="00432489">
        <w:t>.</w:t>
      </w:r>
    </w:p>
    <w:p w14:paraId="16D06E05" w14:textId="77777777" w:rsidR="00E04736" w:rsidRDefault="00E04736" w:rsidP="006D4552">
      <w:pPr>
        <w:jc w:val="both"/>
      </w:pPr>
    </w:p>
    <w:p w14:paraId="4D75B68F" w14:textId="77777777" w:rsidR="00E04736" w:rsidRDefault="00E04736" w:rsidP="006D4552">
      <w:pPr>
        <w:jc w:val="both"/>
      </w:pPr>
    </w:p>
    <w:p w14:paraId="0AEF6AB2" w14:textId="77777777" w:rsidR="00E04736" w:rsidRPr="00654592" w:rsidRDefault="00E04736" w:rsidP="00E04736">
      <w:pPr>
        <w:spacing w:after="160" w:line="278" w:lineRule="auto"/>
        <w:jc w:val="both"/>
      </w:pPr>
      <w:r w:rsidRPr="001108BC">
        <w:rPr>
          <w:b/>
          <w:bCs/>
        </w:rPr>
        <w:t>Acknowledgements:</w:t>
      </w:r>
      <w:r>
        <w:t xml:space="preserve"> Authors</w:t>
      </w:r>
      <w:r w:rsidRPr="001108BC">
        <w:t xml:space="preserve"> are grateful to the National Science Centre of Poland and the European Union’s Horizon 2020 research and innovation </w:t>
      </w:r>
      <w:proofErr w:type="spellStart"/>
      <w:r w:rsidRPr="001108BC">
        <w:t>programme</w:t>
      </w:r>
      <w:proofErr w:type="spellEnd"/>
      <w:r w:rsidRPr="001108BC">
        <w:t xml:space="preserve"> under the Marie </w:t>
      </w:r>
      <w:proofErr w:type="spellStart"/>
      <w:r w:rsidRPr="001108BC">
        <w:t>Skłodowska</w:t>
      </w:r>
      <w:proofErr w:type="spellEnd"/>
      <w:r w:rsidRPr="001108BC">
        <w:t xml:space="preserve">-Curie grant agreement No. 945339 for financing this research under the </w:t>
      </w:r>
      <w:proofErr w:type="spellStart"/>
      <w:r w:rsidRPr="001108BC">
        <w:t>PolonezBis</w:t>
      </w:r>
      <w:proofErr w:type="spellEnd"/>
      <w:r w:rsidRPr="001108BC">
        <w:t xml:space="preserve"> call (2022/47/ P/ST4/01065).</w:t>
      </w:r>
    </w:p>
    <w:p w14:paraId="136B0019" w14:textId="77777777" w:rsidR="00E04736" w:rsidRDefault="00E04736" w:rsidP="006D4552">
      <w:pPr>
        <w:jc w:val="both"/>
      </w:pPr>
    </w:p>
    <w:p w14:paraId="717DBCBF"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334ED" w14:textId="77777777" w:rsidR="00CD5628" w:rsidRDefault="00CD5628" w:rsidP="00C52150">
      <w:r>
        <w:separator/>
      </w:r>
    </w:p>
  </w:endnote>
  <w:endnote w:type="continuationSeparator" w:id="0">
    <w:p w14:paraId="07597553" w14:textId="77777777" w:rsidR="00CD5628" w:rsidRDefault="00CD5628" w:rsidP="00C52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43D3E" w14:textId="77777777" w:rsidR="00CD5628" w:rsidRDefault="00CD5628" w:rsidP="00C52150">
      <w:r>
        <w:separator/>
      </w:r>
    </w:p>
  </w:footnote>
  <w:footnote w:type="continuationSeparator" w:id="0">
    <w:p w14:paraId="42DA443B" w14:textId="77777777" w:rsidR="00CD5628" w:rsidRDefault="00CD5628" w:rsidP="00C521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2126D"/>
    <w:rsid w:val="00041EFD"/>
    <w:rsid w:val="00092FC1"/>
    <w:rsid w:val="00325004"/>
    <w:rsid w:val="003E094C"/>
    <w:rsid w:val="00432489"/>
    <w:rsid w:val="004508B6"/>
    <w:rsid w:val="00536366"/>
    <w:rsid w:val="00685C1A"/>
    <w:rsid w:val="006C3776"/>
    <w:rsid w:val="006D4552"/>
    <w:rsid w:val="00741B50"/>
    <w:rsid w:val="00843882"/>
    <w:rsid w:val="0096069C"/>
    <w:rsid w:val="009A7ED4"/>
    <w:rsid w:val="00A70543"/>
    <w:rsid w:val="00A80500"/>
    <w:rsid w:val="00C42438"/>
    <w:rsid w:val="00C52150"/>
    <w:rsid w:val="00CC595C"/>
    <w:rsid w:val="00CD5628"/>
    <w:rsid w:val="00D9203A"/>
    <w:rsid w:val="00E04736"/>
    <w:rsid w:val="00E0716D"/>
    <w:rsid w:val="00E13454"/>
    <w:rsid w:val="00EA1536"/>
    <w:rsid w:val="00EF6189"/>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E9C2D8"/>
  <w14:defaultImageDpi w14:val="300"/>
  <w15:docId w15:val="{60132E2B-5043-4282-ABA1-2E4521374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203A"/>
    <w:rPr>
      <w:color w:val="0000FF" w:themeColor="hyperlink"/>
      <w:u w:val="single"/>
    </w:rPr>
  </w:style>
  <w:style w:type="character" w:styleId="UnresolvedMention">
    <w:name w:val="Unresolved Mention"/>
    <w:basedOn w:val="DefaultParagraphFont"/>
    <w:uiPriority w:val="99"/>
    <w:semiHidden/>
    <w:unhideWhenUsed/>
    <w:rsid w:val="00D9203A"/>
    <w:rPr>
      <w:color w:val="605E5C"/>
      <w:shd w:val="clear" w:color="auto" w:fill="E1DFDD"/>
    </w:rPr>
  </w:style>
  <w:style w:type="paragraph" w:styleId="EndnoteText">
    <w:name w:val="endnote text"/>
    <w:basedOn w:val="Normal"/>
    <w:link w:val="EndnoteTextChar"/>
    <w:uiPriority w:val="99"/>
    <w:semiHidden/>
    <w:unhideWhenUsed/>
    <w:rsid w:val="00C52150"/>
  </w:style>
  <w:style w:type="character" w:customStyle="1" w:styleId="EndnoteTextChar">
    <w:name w:val="Endnote Text Char"/>
    <w:basedOn w:val="DefaultParagraphFont"/>
    <w:link w:val="EndnoteText"/>
    <w:uiPriority w:val="99"/>
    <w:semiHidden/>
    <w:rsid w:val="00C52150"/>
    <w:rPr>
      <w:snapToGrid w:val="0"/>
    </w:rPr>
  </w:style>
  <w:style w:type="character" w:styleId="EndnoteReference">
    <w:name w:val="endnote reference"/>
    <w:basedOn w:val="DefaultParagraphFont"/>
    <w:uiPriority w:val="99"/>
    <w:semiHidden/>
    <w:unhideWhenUsed/>
    <w:rsid w:val="00C52150"/>
    <w:rPr>
      <w:vertAlign w:val="superscript"/>
    </w:rPr>
  </w:style>
  <w:style w:type="paragraph" w:styleId="Revision">
    <w:name w:val="Revision"/>
    <w:hidden/>
    <w:uiPriority w:val="99"/>
    <w:semiHidden/>
    <w:rsid w:val="00741B50"/>
    <w:rPr>
      <w:snapToGrid w:val="0"/>
    </w:rPr>
  </w:style>
  <w:style w:type="character" w:styleId="CommentReference">
    <w:name w:val="annotation reference"/>
    <w:basedOn w:val="DefaultParagraphFont"/>
    <w:uiPriority w:val="99"/>
    <w:semiHidden/>
    <w:unhideWhenUsed/>
    <w:rsid w:val="003E094C"/>
    <w:rPr>
      <w:sz w:val="16"/>
      <w:szCs w:val="16"/>
    </w:rPr>
  </w:style>
  <w:style w:type="paragraph" w:styleId="CommentText">
    <w:name w:val="annotation text"/>
    <w:basedOn w:val="Normal"/>
    <w:link w:val="CommentTextChar"/>
    <w:uiPriority w:val="99"/>
    <w:unhideWhenUsed/>
    <w:rsid w:val="003E094C"/>
  </w:style>
  <w:style w:type="character" w:customStyle="1" w:styleId="CommentTextChar">
    <w:name w:val="Comment Text Char"/>
    <w:basedOn w:val="DefaultParagraphFont"/>
    <w:link w:val="CommentText"/>
    <w:uiPriority w:val="99"/>
    <w:rsid w:val="003E094C"/>
    <w:rPr>
      <w:snapToGrid w:val="0"/>
    </w:rPr>
  </w:style>
  <w:style w:type="paragraph" w:styleId="CommentSubject">
    <w:name w:val="annotation subject"/>
    <w:basedOn w:val="CommentText"/>
    <w:next w:val="CommentText"/>
    <w:link w:val="CommentSubjectChar"/>
    <w:uiPriority w:val="99"/>
    <w:semiHidden/>
    <w:unhideWhenUsed/>
    <w:rsid w:val="003E094C"/>
    <w:rPr>
      <w:b/>
      <w:bCs/>
    </w:rPr>
  </w:style>
  <w:style w:type="character" w:customStyle="1" w:styleId="CommentSubjectChar">
    <w:name w:val="Comment Subject Char"/>
    <w:basedOn w:val="CommentTextChar"/>
    <w:link w:val="CommentSubject"/>
    <w:uiPriority w:val="99"/>
    <w:semiHidden/>
    <w:rsid w:val="003E094C"/>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872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16/j.jelechem.2019.11376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788552-7DBA-4F29-8E7A-507E58A1B08D}">
  <we:reference id="wa200005983" version="2.3.0.0" store="en-US" storeType="OMEX"/>
  <we:alternateReferences>
    <we:reference id="WA200005983" version="2.3.0.0" store="WA20000598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Van</b:Tag>
    <b:SourceType>JournalArticle</b:SourceType>
    <b:Guid>{4F2DF7FD-82C2-40FF-BF61-CCDB6004A351}</b:Guid>
    <b:Author>
      <b:Author>
        <b:NameList>
          <b:Person>
            <b:Last>Vaněčková</b:Last>
            <b:First>E.</b:First>
          </b:Person>
          <b:Person>
            <b:Last>Bouša</b:Last>
            <b:First>M.</b:First>
          </b:Person>
          <b:Person>
            <b:Last>Sokolová</b:Last>
            <b:First>R.</b:First>
          </b:Person>
          <b:Person>
            <b:Last>Moreno-García</b:Last>
            <b:First>P.</b:First>
          </b:Person>
          <b:Person>
            <b:Last>Broekmann</b:Last>
            <b:First>P.</b:First>
          </b:Person>
          <b:Person>
            <b:Last>Shestivska</b:Last>
            <b:First>V.</b:First>
          </b:Person>
        </b:NameList>
      </b:Author>
    </b:Author>
    <b:RefOrder>1</b:RefOrder>
  </b:Source>
</b:Sources>
</file>

<file path=customXml/itemProps1.xml><?xml version="1.0" encoding="utf-8"?>
<ds:datastoreItem xmlns:ds="http://schemas.openxmlformats.org/officeDocument/2006/customXml" ds:itemID="{705BAC6A-4567-401C-BEC8-668999DAE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552</Words>
  <Characters>3151</Characters>
  <Application>Microsoft Office Word</Application>
  <DocSecurity>0</DocSecurity>
  <Lines>26</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hamed zafarani</cp:lastModifiedBy>
  <cp:revision>3</cp:revision>
  <cp:lastPrinted>2013-10-21T12:07:00Z</cp:lastPrinted>
  <dcterms:created xsi:type="dcterms:W3CDTF">2026-05-22T13:22:00Z</dcterms:created>
  <dcterms:modified xsi:type="dcterms:W3CDTF">2026-05-25T09:08:00Z</dcterms:modified>
</cp:coreProperties>
</file>