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1032" w14:textId="25064F27" w:rsidR="00325004" w:rsidRPr="00D33102" w:rsidRDefault="00D33102" w:rsidP="00D33102">
      <w:pPr>
        <w:jc w:val="center"/>
        <w:rPr>
          <w:b/>
          <w:bCs/>
          <w:sz w:val="28"/>
          <w:szCs w:val="28"/>
        </w:rPr>
      </w:pPr>
      <w:r w:rsidRPr="00D33102">
        <w:rPr>
          <w:b/>
          <w:bCs/>
          <w:sz w:val="28"/>
          <w:szCs w:val="28"/>
        </w:rPr>
        <w:t>Application of Impedance Spectroscopy Genetic Programming for DFRT Analysis of Anion Exchange Membrane Oxygen Separator</w:t>
      </w:r>
    </w:p>
    <w:p w14:paraId="55771A56" w14:textId="77777777" w:rsidR="00632E6C" w:rsidRDefault="00632E6C" w:rsidP="00D33102">
      <w:pPr>
        <w:jc w:val="center"/>
        <w:rPr>
          <w:b/>
          <w:bCs/>
          <w:color w:val="212121"/>
          <w:shd w:val="clear" w:color="auto" w:fill="FFFFFF"/>
          <w:vertAlign w:val="superscript"/>
        </w:rPr>
      </w:pPr>
      <w:r w:rsidRPr="00E958D0">
        <w:rPr>
          <w:b/>
          <w:bCs/>
          <w:color w:val="212121"/>
          <w:u w:val="single"/>
          <w:shd w:val="clear" w:color="auto" w:fill="FFFFFF"/>
        </w:rPr>
        <w:t>Shweta Pal</w:t>
      </w:r>
      <w:r w:rsidRPr="00E958D0">
        <w:rPr>
          <w:b/>
          <w:bCs/>
          <w:color w:val="212121"/>
          <w:u w:val="single"/>
          <w:shd w:val="clear" w:color="auto" w:fill="FFFFFF"/>
          <w:vertAlign w:val="superscript"/>
        </w:rPr>
        <w:t>1</w:t>
      </w:r>
      <w:r w:rsidRPr="00E958D0">
        <w:rPr>
          <w:b/>
          <w:bCs/>
          <w:color w:val="212121"/>
          <w:shd w:val="clear" w:color="auto" w:fill="FFFFFF"/>
        </w:rPr>
        <w:t>, Anna Suslonova</w:t>
      </w:r>
      <w:r w:rsidRPr="00E958D0">
        <w:rPr>
          <w:b/>
          <w:bCs/>
          <w:color w:val="212121"/>
          <w:shd w:val="clear" w:color="auto" w:fill="FFFFFF"/>
          <w:vertAlign w:val="superscript"/>
        </w:rPr>
        <w:t>2</w:t>
      </w:r>
      <w:r w:rsidRPr="00E958D0">
        <w:rPr>
          <w:b/>
          <w:bCs/>
          <w:color w:val="212121"/>
          <w:shd w:val="clear" w:color="auto" w:fill="FFFFFF"/>
        </w:rPr>
        <w:t>, Dario R. Dekel</w:t>
      </w:r>
      <w:r w:rsidRPr="00E958D0">
        <w:rPr>
          <w:b/>
          <w:bCs/>
          <w:color w:val="212121"/>
          <w:shd w:val="clear" w:color="auto" w:fill="FFFFFF"/>
          <w:vertAlign w:val="superscript"/>
        </w:rPr>
        <w:t>3</w:t>
      </w:r>
      <w:r>
        <w:rPr>
          <w:b/>
          <w:bCs/>
          <w:color w:val="212121"/>
          <w:shd w:val="clear" w:color="auto" w:fill="FFFFFF"/>
          <w:vertAlign w:val="superscript"/>
        </w:rPr>
        <w:t>,4</w:t>
      </w:r>
      <w:r>
        <w:rPr>
          <w:b/>
          <w:bCs/>
          <w:color w:val="212121"/>
          <w:shd w:val="clear" w:color="auto" w:fill="FFFFFF"/>
        </w:rPr>
        <w:t xml:space="preserve">, </w:t>
      </w:r>
      <w:r w:rsidRPr="00E958D0">
        <w:rPr>
          <w:b/>
          <w:bCs/>
          <w:color w:val="212121"/>
          <w:shd w:val="clear" w:color="auto" w:fill="FFFFFF"/>
        </w:rPr>
        <w:t>Yoed Tsur</w:t>
      </w:r>
      <w:r w:rsidRPr="00E958D0">
        <w:rPr>
          <w:b/>
          <w:bCs/>
          <w:color w:val="212121"/>
          <w:shd w:val="clear" w:color="auto" w:fill="FFFFFF"/>
          <w:vertAlign w:val="superscript"/>
        </w:rPr>
        <w:t>1</w:t>
      </w:r>
      <w:r>
        <w:rPr>
          <w:b/>
          <w:bCs/>
          <w:color w:val="212121"/>
          <w:shd w:val="clear" w:color="auto" w:fill="FFFFFF"/>
          <w:vertAlign w:val="superscript"/>
        </w:rPr>
        <w:t>,4</w:t>
      </w:r>
    </w:p>
    <w:p w14:paraId="1DC02E8A" w14:textId="6D13D895" w:rsidR="00632E6C" w:rsidRPr="00E958D0" w:rsidRDefault="00632E6C" w:rsidP="00632E6C">
      <w:pPr>
        <w:rPr>
          <w:i/>
          <w:iCs/>
        </w:rPr>
      </w:pPr>
      <w:r w:rsidRPr="00E958D0">
        <w:rPr>
          <w:i/>
          <w:iCs/>
          <w:vertAlign w:val="superscript"/>
        </w:rPr>
        <w:t>1</w:t>
      </w:r>
      <w:r w:rsidRPr="00E958D0">
        <w:rPr>
          <w:i/>
          <w:iCs/>
        </w:rPr>
        <w:t>The Wolfson Department of Chemical Engineering, Technion – Israel Institute of Technology</w:t>
      </w:r>
    </w:p>
    <w:p w14:paraId="70C62551" w14:textId="2B90AE28" w:rsidR="00632E6C" w:rsidRPr="00E958D0" w:rsidRDefault="00632E6C" w:rsidP="00632E6C">
      <w:pPr>
        <w:rPr>
          <w:i/>
          <w:iCs/>
        </w:rPr>
      </w:pPr>
      <w:r w:rsidRPr="00E958D0">
        <w:rPr>
          <w:i/>
          <w:iCs/>
          <w:vertAlign w:val="superscript"/>
        </w:rPr>
        <w:t>2</w:t>
      </w:r>
      <w:r w:rsidRPr="00E958D0">
        <w:rPr>
          <w:i/>
          <w:iCs/>
        </w:rPr>
        <w:t>Interdisciplinary Program in Polymer Engineering, Technion – Israel Institute of Technology</w:t>
      </w:r>
    </w:p>
    <w:p w14:paraId="7C9295AC" w14:textId="02C27CD8" w:rsidR="00632E6C" w:rsidRDefault="00632E6C" w:rsidP="00632E6C">
      <w:pPr>
        <w:rPr>
          <w:i/>
          <w:iCs/>
        </w:rPr>
      </w:pPr>
      <w:r w:rsidRPr="00E958D0">
        <w:rPr>
          <w:i/>
          <w:iCs/>
          <w:vertAlign w:val="superscript"/>
        </w:rPr>
        <w:t>3</w:t>
      </w:r>
      <w:r w:rsidRPr="00E958D0">
        <w:rPr>
          <w:i/>
          <w:iCs/>
        </w:rPr>
        <w:t>The Nancy and Stephen Grand Technion Energy Program (GTEP), Technion – Israel Institute of Technology</w:t>
      </w:r>
    </w:p>
    <w:p w14:paraId="1E84F46D" w14:textId="2D68ACDD" w:rsidR="00632E6C" w:rsidRPr="00E958D0" w:rsidRDefault="00632E6C" w:rsidP="00632E6C">
      <w:pPr>
        <w:rPr>
          <w:i/>
          <w:iCs/>
        </w:rPr>
      </w:pPr>
      <w:r w:rsidRPr="00E958D0">
        <w:rPr>
          <w:i/>
          <w:iCs/>
          <w:vertAlign w:val="superscript"/>
        </w:rPr>
        <w:t>4</w:t>
      </w:r>
      <w:r w:rsidRPr="00E958D0">
        <w:rPr>
          <w:i/>
          <w:iCs/>
        </w:rPr>
        <w:t>Israel National Institute of Energy Storage (INIES), Technion – Israel Institute of Technology</w:t>
      </w:r>
    </w:p>
    <w:p w14:paraId="03FD75FE" w14:textId="77777777" w:rsidR="00632E6C" w:rsidRDefault="00632E6C" w:rsidP="00632E6C">
      <w:pPr>
        <w:jc w:val="center"/>
      </w:pPr>
      <w:r w:rsidRPr="00E958D0">
        <w:rPr>
          <w:i/>
          <w:iCs/>
        </w:rPr>
        <w:t>Haifa, 3200003, Israel</w:t>
      </w:r>
    </w:p>
    <w:p w14:paraId="34B1A555" w14:textId="6706BCAB" w:rsidR="00325004" w:rsidRDefault="00632E6C" w:rsidP="00247710">
      <w:pPr>
        <w:jc w:val="center"/>
        <w:rPr>
          <w:i/>
          <w:iCs/>
          <w:color w:val="000000" w:themeColor="text1"/>
          <w:shd w:val="clear" w:color="auto" w:fill="FFFFFF"/>
        </w:rPr>
      </w:pPr>
      <w:hyperlink r:id="rId5" w:history="1">
        <w:r w:rsidRPr="00D96766">
          <w:rPr>
            <w:rStyle w:val="Hyperlink"/>
            <w:i/>
            <w:iCs/>
            <w:color w:val="000000" w:themeColor="text1"/>
            <w:shd w:val="clear" w:color="auto" w:fill="FFFFFF"/>
          </w:rPr>
          <w:t>shweta.pal@campus.technion.ac.il</w:t>
        </w:r>
      </w:hyperlink>
    </w:p>
    <w:p w14:paraId="5053D33C" w14:textId="77777777" w:rsidR="00247710" w:rsidRPr="00247710" w:rsidRDefault="00247710" w:rsidP="00247710">
      <w:pPr>
        <w:jc w:val="center"/>
        <w:rPr>
          <w:i/>
          <w:iCs/>
          <w:color w:val="000000" w:themeColor="text1"/>
          <w:shd w:val="clear" w:color="auto" w:fill="FFFFFF"/>
        </w:rPr>
      </w:pPr>
    </w:p>
    <w:p w14:paraId="11F2F786" w14:textId="3B3153BE" w:rsidR="008E518A" w:rsidRPr="00A61C43" w:rsidRDefault="00632E6C" w:rsidP="00A61C43">
      <w:pPr>
        <w:widowControl/>
        <w:spacing w:after="160" w:line="278" w:lineRule="auto"/>
        <w:jc w:val="both"/>
        <w:rPr>
          <w:rFonts w:asciiTheme="majorBidi" w:hAnsiTheme="majorBidi" w:cstheme="majorBidi"/>
          <w:lang w:bidi="he-IL"/>
        </w:rPr>
      </w:pPr>
      <w:r w:rsidRPr="00D33102">
        <w:rPr>
          <w:rFonts w:asciiTheme="majorBidi" w:hAnsiTheme="majorBidi" w:cstheme="majorBidi"/>
        </w:rPr>
        <w:t>Anion-exchange membrane oxygen separator (AEMOS)</w:t>
      </w:r>
      <w:r w:rsidRPr="00F050BE">
        <w:rPr>
          <w:rFonts w:asciiTheme="majorBidi" w:hAnsiTheme="majorBidi" w:cstheme="majorBidi"/>
        </w:rPr>
        <w:t xml:space="preserve"> is a novel electrochemical technology that operates in an all-solid-state, liquid-electrolyte-free, gas-fed configuration, enabling on-demand production of high-purity oxygen (&gt;99%) in a compact and portable device</w:t>
      </w:r>
      <w:r w:rsidR="00A61C43" w:rsidRPr="00A61C43">
        <w:rPr>
          <w:rFonts w:asciiTheme="majorBidi" w:hAnsiTheme="majorBidi" w:cstheme="majorBidi"/>
          <w:vertAlign w:val="superscript"/>
        </w:rPr>
        <w:t>1</w:t>
      </w:r>
      <w:r w:rsidRPr="00F050BE">
        <w:rPr>
          <w:rFonts w:asciiTheme="majorBidi" w:hAnsiTheme="majorBidi" w:cstheme="majorBidi"/>
        </w:rPr>
        <w:t>. Understanding its operation under different gas compositions and applied voltages is essential for improving performance and efficiency.</w:t>
      </w:r>
      <w:r w:rsidRPr="00F050BE">
        <w:rPr>
          <w:rFonts w:asciiTheme="majorBidi" w:hAnsiTheme="majorBidi" w:cstheme="majorBidi"/>
          <w:b/>
          <w:bCs/>
        </w:rPr>
        <w:t xml:space="preserve"> </w:t>
      </w:r>
      <w:r w:rsidRPr="00D33102">
        <w:rPr>
          <w:rFonts w:asciiTheme="majorBidi" w:hAnsiTheme="majorBidi" w:cstheme="majorBidi"/>
        </w:rPr>
        <w:t>Electrochemical impedance spectroscopy (EIS)</w:t>
      </w:r>
      <w:r w:rsidRPr="00F050BE">
        <w:rPr>
          <w:rFonts w:asciiTheme="majorBidi" w:hAnsiTheme="majorBidi" w:cstheme="majorBidi"/>
        </w:rPr>
        <w:t xml:space="preserve"> is a powerful, non-destructive technique for investigating electrochemical kinetics and transport processes. However, EIS interpretation is challenging due to its ill-posed inverse problem. The </w:t>
      </w:r>
      <w:r w:rsidRPr="00D33102">
        <w:rPr>
          <w:rFonts w:asciiTheme="majorBidi" w:hAnsiTheme="majorBidi" w:cstheme="majorBidi"/>
        </w:rPr>
        <w:t>distribution function of relaxation times (DFRT</w:t>
      </w:r>
      <w:r w:rsidR="00F53212">
        <w:rPr>
          <w:rFonts w:asciiTheme="majorBidi" w:hAnsiTheme="majorBidi" w:cstheme="majorBidi"/>
        </w:rPr>
        <w:t>, a.k.a DRT</w:t>
      </w:r>
      <w:r w:rsidRPr="00D33102">
        <w:rPr>
          <w:rFonts w:asciiTheme="majorBidi" w:hAnsiTheme="majorBidi" w:cstheme="majorBidi"/>
        </w:rPr>
        <w:t>)</w:t>
      </w:r>
      <w:r w:rsidRPr="00F050BE">
        <w:rPr>
          <w:rFonts w:asciiTheme="majorBidi" w:hAnsiTheme="majorBidi" w:cstheme="majorBidi"/>
        </w:rPr>
        <w:t xml:space="preserve"> facilitates EIS analysis by transforming impedance data from the frequency domain into the relaxation-time domain, allowing individual electrochemical processes to be distinguished. Nevertheless, determining the DFRT still represents a challenging inverse problem</w:t>
      </w:r>
      <w:r w:rsidRPr="00F050BE">
        <w:rPr>
          <w:rFonts w:asciiTheme="majorBidi" w:hAnsiTheme="majorBidi" w:cstheme="majorBidi"/>
          <w:vertAlign w:val="superscript"/>
        </w:rPr>
        <w:t>2</w:t>
      </w:r>
      <w:r w:rsidRPr="00F050BE">
        <w:rPr>
          <w:rFonts w:asciiTheme="majorBidi" w:hAnsiTheme="majorBidi" w:cstheme="majorBidi"/>
        </w:rPr>
        <w:t>. To overcome this issue, we developed a modified Genetic Programming (GP)-based approach using either MATLAB or Python for impedance spectroscopy analysis, termed Impedance Spectroscopy Genetic Programming (ISGP). ISGP provides an analytical representation of the DFRT, enabling the extraction of effective resistance and effective capacitance associated with each electrochemical process</w:t>
      </w:r>
      <w:r w:rsidRPr="00F050BE">
        <w:rPr>
          <w:rFonts w:asciiTheme="majorBidi" w:hAnsiTheme="majorBidi" w:cstheme="majorBidi"/>
          <w:vertAlign w:val="superscript"/>
        </w:rPr>
        <w:t>2,3</w:t>
      </w:r>
      <w:r w:rsidRPr="00F050BE">
        <w:rPr>
          <w:rFonts w:asciiTheme="majorBidi" w:hAnsiTheme="majorBidi" w:cstheme="majorBidi"/>
        </w:rPr>
        <w:t>. In this approach, the DFRT is expressed as a linear combination of mathematical peaks characterized by their central relaxation time, height, and width. Importantly, ISGP can resolve negative loops into negative peaks in the DFRT, corresponding to negative effective resistances and capacitances</w:t>
      </w:r>
      <w:r w:rsidRPr="00F050BE">
        <w:rPr>
          <w:rFonts w:asciiTheme="majorBidi" w:hAnsiTheme="majorBidi" w:cstheme="majorBidi"/>
          <w:vertAlign w:val="superscript"/>
        </w:rPr>
        <w:t>3</w:t>
      </w:r>
      <w:r w:rsidRPr="00F050BE">
        <w:rPr>
          <w:rFonts w:asciiTheme="majorBidi" w:hAnsiTheme="majorBidi" w:cstheme="majorBidi"/>
        </w:rPr>
        <w:t>. These negative resistances have been suggested to originate from competing electrochemical reactions occurring during operation. This capability makes ISGP a valuable tool for investigating interfacial and transport phenomena in AEMOS and related anion-exchange membrane electrochemical syste</w:t>
      </w:r>
      <w:r w:rsidR="00A61C43">
        <w:rPr>
          <w:rFonts w:asciiTheme="majorBidi" w:hAnsiTheme="majorBidi" w:cstheme="majorBidi"/>
        </w:rPr>
        <w:t>ms.</w:t>
      </w:r>
      <w:r w:rsidR="00A61C43">
        <w:rPr>
          <w:noProof/>
          <w:snapToGrid/>
        </w:rPr>
        <w:drawing>
          <wp:inline distT="0" distB="0" distL="0" distR="0" wp14:anchorId="025CF557" wp14:editId="25B96685">
            <wp:extent cx="5400675" cy="1663065"/>
            <wp:effectExtent l="0" t="0" r="9525" b="0"/>
            <wp:docPr id="258995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95869" name="Picture 258995869"/>
                    <pic:cNvPicPr/>
                  </pic:nvPicPr>
                  <pic:blipFill rotWithShape="1">
                    <a:blip r:embed="rId6"/>
                    <a:srcRect b="42168"/>
                    <a:stretch>
                      <a:fillRect/>
                    </a:stretch>
                  </pic:blipFill>
                  <pic:spPr bwMode="auto">
                    <a:xfrm>
                      <a:off x="0" y="0"/>
                      <a:ext cx="5400675" cy="1663065"/>
                    </a:xfrm>
                    <a:prstGeom prst="rect">
                      <a:avLst/>
                    </a:prstGeom>
                    <a:ln>
                      <a:noFill/>
                    </a:ln>
                    <a:extLst>
                      <a:ext uri="{53640926-AAD7-44D8-BBD7-CCE9431645EC}">
                        <a14:shadowObscured xmlns:a14="http://schemas.microsoft.com/office/drawing/2010/main"/>
                      </a:ext>
                    </a:extLst>
                  </pic:spPr>
                </pic:pic>
              </a:graphicData>
            </a:graphic>
          </wp:inline>
        </w:drawing>
      </w:r>
    </w:p>
    <w:p w14:paraId="43C6405C" w14:textId="77777777" w:rsidR="00247710" w:rsidRDefault="00247710" w:rsidP="00247710">
      <w:pPr>
        <w:jc w:val="both"/>
      </w:pPr>
      <w:r>
        <w:t xml:space="preserve">Figure 1. </w:t>
      </w:r>
      <w:r w:rsidRPr="000F66DE">
        <w:t xml:space="preserve">Example of DFRT inversion in a case with a negative loop. </w:t>
      </w:r>
      <w:r w:rsidRPr="000F66DE">
        <w:rPr>
          <w:b/>
          <w:bCs/>
        </w:rPr>
        <w:t xml:space="preserve">(a) </w:t>
      </w:r>
      <w:r w:rsidRPr="000F66DE">
        <w:t>Experimental</w:t>
      </w:r>
      <w:r>
        <w:t xml:space="preserve"> </w:t>
      </w:r>
      <w:r w:rsidRPr="000F66DE">
        <w:t>results</w:t>
      </w:r>
      <w:r>
        <w:t>, and</w:t>
      </w:r>
      <w:r w:rsidRPr="000F66DE">
        <w:t xml:space="preserve"> </w:t>
      </w:r>
      <w:r w:rsidRPr="000F66DE">
        <w:rPr>
          <w:b/>
          <w:bCs/>
        </w:rPr>
        <w:t xml:space="preserve">(b) </w:t>
      </w:r>
      <w:r w:rsidRPr="000F66DE">
        <w:t>DFRT based on two positive and a negative peak</w:t>
      </w:r>
      <w:r>
        <w:t>.</w:t>
      </w:r>
    </w:p>
    <w:p w14:paraId="1E9499B2" w14:textId="77777777" w:rsidR="00A61C43" w:rsidRDefault="00A61C43" w:rsidP="00247710">
      <w:pPr>
        <w:jc w:val="both"/>
      </w:pPr>
    </w:p>
    <w:p w14:paraId="14DAB2B4" w14:textId="5D7528E4" w:rsidR="00D33102" w:rsidRPr="00A61C43" w:rsidRDefault="00A61C43" w:rsidP="00A61C43">
      <w:pPr>
        <w:pStyle w:val="ListParagraph"/>
        <w:numPr>
          <w:ilvl w:val="0"/>
          <w:numId w:val="1"/>
        </w:numPr>
        <w:jc w:val="both"/>
        <w:rPr>
          <w:rFonts w:asciiTheme="majorBidi" w:hAnsiTheme="majorBidi" w:cstheme="majorBidi"/>
          <w:sz w:val="20"/>
          <w:szCs w:val="20"/>
        </w:rPr>
      </w:pPr>
      <w:r w:rsidRPr="00A61C43">
        <w:rPr>
          <w:rFonts w:asciiTheme="majorBidi" w:hAnsiTheme="majorBidi" w:cstheme="majorBidi"/>
          <w:sz w:val="20"/>
          <w:szCs w:val="20"/>
        </w:rPr>
        <w:t xml:space="preserve">Faour, M.; Yassin, K.; Dekel, D. R. Anion-Exchange Membrane Oxygen Separator. </w:t>
      </w:r>
      <w:r w:rsidRPr="00A61C43">
        <w:rPr>
          <w:rFonts w:asciiTheme="majorBidi" w:hAnsiTheme="majorBidi" w:cstheme="majorBidi"/>
          <w:i/>
          <w:iCs/>
          <w:sz w:val="20"/>
          <w:szCs w:val="20"/>
        </w:rPr>
        <w:t>ACS Org. Inorg. Au</w:t>
      </w:r>
      <w:r w:rsidRPr="00A61C43">
        <w:rPr>
          <w:rFonts w:asciiTheme="majorBidi" w:hAnsiTheme="majorBidi" w:cstheme="majorBidi"/>
          <w:sz w:val="20"/>
          <w:szCs w:val="20"/>
        </w:rPr>
        <w:t xml:space="preserve"> </w:t>
      </w:r>
      <w:r w:rsidRPr="00A61C43">
        <w:rPr>
          <w:rFonts w:asciiTheme="majorBidi" w:hAnsiTheme="majorBidi" w:cstheme="majorBidi"/>
          <w:b/>
          <w:bCs/>
          <w:sz w:val="20"/>
          <w:szCs w:val="20"/>
        </w:rPr>
        <w:t>2024</w:t>
      </w:r>
      <w:r w:rsidRPr="00A61C43">
        <w:rPr>
          <w:rFonts w:asciiTheme="majorBidi" w:hAnsiTheme="majorBidi" w:cstheme="majorBidi"/>
          <w:sz w:val="20"/>
          <w:szCs w:val="20"/>
        </w:rPr>
        <w:t xml:space="preserve">, </w:t>
      </w:r>
      <w:r w:rsidRPr="00A61C43">
        <w:rPr>
          <w:rFonts w:asciiTheme="majorBidi" w:hAnsiTheme="majorBidi" w:cstheme="majorBidi"/>
          <w:i/>
          <w:iCs/>
          <w:sz w:val="20"/>
          <w:szCs w:val="20"/>
        </w:rPr>
        <w:t>4</w:t>
      </w:r>
      <w:r w:rsidRPr="00A61C43">
        <w:rPr>
          <w:rFonts w:asciiTheme="majorBidi" w:hAnsiTheme="majorBidi" w:cstheme="majorBidi"/>
          <w:sz w:val="20"/>
          <w:szCs w:val="20"/>
        </w:rPr>
        <w:t xml:space="preserve"> (5), 498–503.</w:t>
      </w:r>
    </w:p>
    <w:p w14:paraId="73107B68" w14:textId="77777777" w:rsidR="00247710" w:rsidRPr="00F02CDE" w:rsidRDefault="00247710" w:rsidP="00247710">
      <w:pPr>
        <w:pStyle w:val="ListParagraph"/>
        <w:numPr>
          <w:ilvl w:val="0"/>
          <w:numId w:val="1"/>
        </w:numPr>
        <w:spacing w:after="0"/>
        <w:jc w:val="both"/>
        <w:rPr>
          <w:rFonts w:asciiTheme="majorBidi" w:hAnsiTheme="majorBidi" w:cstheme="majorBidi"/>
          <w:i/>
          <w:iCs/>
          <w:color w:val="000000" w:themeColor="text1"/>
          <w:sz w:val="20"/>
          <w:szCs w:val="20"/>
          <w:shd w:val="clear" w:color="auto" w:fill="FFFFFF"/>
        </w:rPr>
      </w:pPr>
      <w:r w:rsidRPr="00F02CDE">
        <w:rPr>
          <w:rFonts w:asciiTheme="majorBidi" w:hAnsiTheme="majorBidi" w:cstheme="majorBidi"/>
          <w:color w:val="000000" w:themeColor="text1"/>
          <w:sz w:val="20"/>
          <w:szCs w:val="20"/>
          <w:shd w:val="clear" w:color="auto" w:fill="FFFFFF"/>
        </w:rPr>
        <w:t xml:space="preserve">Pal, S.; Tsur, Y. </w:t>
      </w:r>
      <w:hyperlink r:id="rId7" w:history="1">
        <w:r w:rsidRPr="00F02CDE">
          <w:rPr>
            <w:rStyle w:val="Hyperlink"/>
            <w:rFonts w:asciiTheme="majorBidi" w:hAnsiTheme="majorBidi" w:cstheme="majorBidi"/>
            <w:color w:val="000000" w:themeColor="text1"/>
            <w:sz w:val="20"/>
            <w:szCs w:val="20"/>
            <w:u w:val="none"/>
            <w:shd w:val="clear" w:color="auto" w:fill="FFFFFF"/>
          </w:rPr>
          <w:t>Advances in Fuel Cells EIS Data Analysis using the Distribution Function of Relaxation Times Methods</w:t>
        </w:r>
      </w:hyperlink>
      <w:r w:rsidRPr="00F02CDE">
        <w:rPr>
          <w:rFonts w:asciiTheme="majorBidi" w:hAnsiTheme="majorBidi" w:cstheme="majorBidi"/>
          <w:color w:val="000000" w:themeColor="text1"/>
          <w:sz w:val="20"/>
          <w:szCs w:val="20"/>
          <w:shd w:val="clear" w:color="auto" w:fill="FFFFFF"/>
        </w:rPr>
        <w:t xml:space="preserve">. </w:t>
      </w:r>
      <w:r w:rsidRPr="00F02CDE">
        <w:rPr>
          <w:rFonts w:asciiTheme="majorBidi" w:hAnsiTheme="majorBidi" w:cstheme="majorBidi"/>
          <w:i/>
          <w:iCs/>
          <w:color w:val="000000" w:themeColor="text1"/>
          <w:sz w:val="20"/>
          <w:szCs w:val="20"/>
          <w:shd w:val="clear" w:color="auto" w:fill="FFFFFF"/>
        </w:rPr>
        <w:t xml:space="preserve">Current Opinion in Electrochemistry </w:t>
      </w:r>
      <w:r w:rsidRPr="00A61C43">
        <w:rPr>
          <w:rFonts w:asciiTheme="majorBidi" w:hAnsiTheme="majorBidi" w:cstheme="majorBidi"/>
          <w:b/>
          <w:bCs/>
          <w:color w:val="000000" w:themeColor="text1"/>
          <w:sz w:val="20"/>
          <w:szCs w:val="20"/>
          <w:shd w:val="clear" w:color="auto" w:fill="FFFFFF"/>
        </w:rPr>
        <w:t>2026</w:t>
      </w:r>
      <w:r w:rsidRPr="00932852">
        <w:rPr>
          <w:rFonts w:asciiTheme="majorBidi" w:hAnsiTheme="majorBidi" w:cstheme="majorBidi"/>
          <w:color w:val="000000" w:themeColor="text1"/>
          <w:sz w:val="20"/>
          <w:szCs w:val="20"/>
          <w:shd w:val="clear" w:color="auto" w:fill="FFFFFF"/>
        </w:rPr>
        <w:t>,</w:t>
      </w:r>
      <w:r w:rsidRPr="00F02CDE">
        <w:rPr>
          <w:rFonts w:asciiTheme="majorBidi" w:hAnsiTheme="majorBidi" w:cstheme="majorBidi"/>
          <w:i/>
          <w:iCs/>
          <w:color w:val="000000" w:themeColor="text1"/>
          <w:sz w:val="20"/>
          <w:szCs w:val="20"/>
          <w:shd w:val="clear" w:color="auto" w:fill="FFFFFF"/>
        </w:rPr>
        <w:t xml:space="preserve"> 55, </w:t>
      </w:r>
      <w:r w:rsidRPr="00F02CDE">
        <w:rPr>
          <w:rFonts w:asciiTheme="majorBidi" w:hAnsiTheme="majorBidi" w:cstheme="majorBidi"/>
          <w:color w:val="000000" w:themeColor="text1"/>
          <w:sz w:val="20"/>
          <w:szCs w:val="20"/>
          <w:shd w:val="clear" w:color="auto" w:fill="FFFFFF"/>
        </w:rPr>
        <w:t>101803</w:t>
      </w:r>
      <w:r w:rsidRPr="00F02CDE">
        <w:rPr>
          <w:rFonts w:asciiTheme="majorBidi" w:hAnsiTheme="majorBidi" w:cstheme="majorBidi"/>
          <w:i/>
          <w:iCs/>
          <w:color w:val="000000" w:themeColor="text1"/>
          <w:sz w:val="20"/>
          <w:szCs w:val="20"/>
          <w:shd w:val="clear" w:color="auto" w:fill="FFFFFF"/>
        </w:rPr>
        <w:t xml:space="preserve">. </w:t>
      </w:r>
    </w:p>
    <w:p w14:paraId="6F1CED3D" w14:textId="6192E87B" w:rsidR="00247710" w:rsidRPr="00A61C43" w:rsidRDefault="00247710" w:rsidP="00A61C43">
      <w:pPr>
        <w:pStyle w:val="ListParagraph"/>
        <w:numPr>
          <w:ilvl w:val="0"/>
          <w:numId w:val="1"/>
        </w:numPr>
        <w:spacing w:after="0"/>
        <w:rPr>
          <w:rFonts w:asciiTheme="majorBidi" w:hAnsiTheme="majorBidi" w:cstheme="majorBidi"/>
          <w:color w:val="000000" w:themeColor="text1"/>
          <w:sz w:val="20"/>
          <w:szCs w:val="20"/>
        </w:rPr>
      </w:pPr>
      <w:r w:rsidRPr="00F02CDE">
        <w:rPr>
          <w:rFonts w:asciiTheme="majorBidi" w:hAnsiTheme="majorBidi" w:cstheme="majorBidi"/>
          <w:sz w:val="20"/>
          <w:szCs w:val="20"/>
        </w:rPr>
        <w:t>Bhowmick, S.; Khalaily, W.; Elbaz, L.; Tsur, Y. Elucidation of Negative Loops in the Impedance Spectrum of a Contaminated Polymer Electrolyte Membrane Fuel Cell.</w:t>
      </w:r>
      <w:r w:rsidRPr="00F02CDE">
        <w:rPr>
          <w:rFonts w:asciiTheme="majorBidi" w:hAnsiTheme="majorBidi" w:cstheme="majorBidi"/>
          <w:i/>
          <w:iCs/>
          <w:sz w:val="20"/>
          <w:szCs w:val="20"/>
        </w:rPr>
        <w:t xml:space="preserve">  ACS Electrochem</w:t>
      </w:r>
      <w:r w:rsidRPr="00932852">
        <w:rPr>
          <w:rFonts w:asciiTheme="majorBidi" w:hAnsiTheme="majorBidi" w:cstheme="majorBidi"/>
          <w:i/>
          <w:iCs/>
          <w:sz w:val="20"/>
          <w:szCs w:val="20"/>
        </w:rPr>
        <w:t xml:space="preserve">. </w:t>
      </w:r>
      <w:r w:rsidRPr="00A61C43">
        <w:rPr>
          <w:rFonts w:asciiTheme="majorBidi" w:hAnsiTheme="majorBidi" w:cstheme="majorBidi"/>
          <w:b/>
          <w:bCs/>
          <w:sz w:val="20"/>
          <w:szCs w:val="20"/>
        </w:rPr>
        <w:t>2025</w:t>
      </w:r>
      <w:r w:rsidRPr="00932852">
        <w:rPr>
          <w:rFonts w:asciiTheme="majorBidi" w:hAnsiTheme="majorBidi" w:cstheme="majorBidi"/>
          <w:sz w:val="20"/>
          <w:szCs w:val="20"/>
        </w:rPr>
        <w:t>,</w:t>
      </w:r>
      <w:r w:rsidRPr="00F02CDE">
        <w:rPr>
          <w:rFonts w:asciiTheme="majorBidi" w:hAnsiTheme="majorBidi" w:cstheme="majorBidi"/>
          <w:sz w:val="20"/>
          <w:szCs w:val="20"/>
        </w:rPr>
        <w:t xml:space="preserve"> </w:t>
      </w:r>
      <w:r w:rsidRPr="00F02CDE">
        <w:rPr>
          <w:rFonts w:asciiTheme="majorBidi" w:hAnsiTheme="majorBidi" w:cstheme="majorBidi"/>
          <w:i/>
          <w:iCs/>
          <w:sz w:val="20"/>
          <w:szCs w:val="20"/>
        </w:rPr>
        <w:t>1</w:t>
      </w:r>
      <w:r w:rsidRPr="00F02CDE">
        <w:rPr>
          <w:rFonts w:asciiTheme="majorBidi" w:hAnsiTheme="majorBidi" w:cstheme="majorBidi"/>
          <w:sz w:val="20"/>
          <w:szCs w:val="20"/>
        </w:rPr>
        <w:t>, 1194−1205.</w:t>
      </w:r>
      <w:r>
        <w:rPr>
          <w:rFonts w:asciiTheme="majorBidi" w:hAnsiTheme="majorBidi" w:cstheme="majorBidi"/>
          <w:sz w:val="20"/>
          <w:szCs w:val="20"/>
        </w:rPr>
        <w:t xml:space="preserve"> </w:t>
      </w:r>
    </w:p>
    <w:sectPr w:rsidR="00247710" w:rsidRPr="00A61C43"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38256F"/>
    <w:multiLevelType w:val="hybridMultilevel"/>
    <w:tmpl w:val="DC16B0EA"/>
    <w:lvl w:ilvl="0" w:tplc="990E41EC">
      <w:start w:val="1"/>
      <w:numFmt w:val="decimal"/>
      <w:lvlText w:val="%1."/>
      <w:lvlJc w:val="left"/>
      <w:pPr>
        <w:ind w:left="360" w:hanging="360"/>
      </w:pPr>
      <w:rPr>
        <w:rFonts w:hint="default"/>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47710"/>
    <w:rsid w:val="00325004"/>
    <w:rsid w:val="00536366"/>
    <w:rsid w:val="005A0F02"/>
    <w:rsid w:val="00632E6C"/>
    <w:rsid w:val="00685C1A"/>
    <w:rsid w:val="00764B46"/>
    <w:rsid w:val="008E518A"/>
    <w:rsid w:val="00A23C29"/>
    <w:rsid w:val="00A61C43"/>
    <w:rsid w:val="00B15CA4"/>
    <w:rsid w:val="00B34D20"/>
    <w:rsid w:val="00D33102"/>
    <w:rsid w:val="00E0716D"/>
    <w:rsid w:val="00EC0A17"/>
    <w:rsid w:val="00F53212"/>
    <w:rsid w:val="00F97641"/>
    <w:rsid w:val="00FE083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E740EB"/>
  <w14:defaultImageDpi w14:val="300"/>
  <w15:docId w15:val="{77433559-AA02-487B-AE89-B382A609D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32E6C"/>
    <w:rPr>
      <w:b/>
      <w:bCs/>
    </w:rPr>
  </w:style>
  <w:style w:type="character" w:styleId="Hyperlink">
    <w:name w:val="Hyperlink"/>
    <w:basedOn w:val="DefaultParagraphFont"/>
    <w:uiPriority w:val="99"/>
    <w:unhideWhenUsed/>
    <w:rsid w:val="00632E6C"/>
    <w:rPr>
      <w:color w:val="0000FF" w:themeColor="hyperlink"/>
      <w:u w:val="single"/>
    </w:rPr>
  </w:style>
  <w:style w:type="paragraph" w:styleId="ListParagraph">
    <w:name w:val="List Paragraph"/>
    <w:basedOn w:val="Normal"/>
    <w:uiPriority w:val="34"/>
    <w:qFormat/>
    <w:rsid w:val="00247710"/>
    <w:pPr>
      <w:widowControl/>
      <w:spacing w:after="160" w:line="278" w:lineRule="auto"/>
      <w:ind w:left="720"/>
      <w:contextualSpacing/>
    </w:pPr>
    <w:rPr>
      <w:rFonts w:asciiTheme="minorHAnsi" w:eastAsiaTheme="minorHAnsi" w:hAnsiTheme="minorHAnsi" w:cstheme="minorBidi"/>
      <w:snapToGrid/>
      <w:kern w:val="2"/>
      <w:sz w:val="24"/>
      <w:szCs w:val="24"/>
      <w:lang w:bidi="he-I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view_op=view_citation&amp;hl=en&amp;user=qlt8KgQAAAAJ&amp;sortby=pubdate&amp;citation_for_view=qlt8KgQAAAAJ:J-pR_7NvFog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hweta.pal@campus.technion.ac.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Shweta Pal</cp:lastModifiedBy>
  <cp:revision>6</cp:revision>
  <cp:lastPrinted>2013-10-21T12:07:00Z</cp:lastPrinted>
  <dcterms:created xsi:type="dcterms:W3CDTF">2026-05-29T10:42:00Z</dcterms:created>
  <dcterms:modified xsi:type="dcterms:W3CDTF">2026-05-29T10:52:00Z</dcterms:modified>
</cp:coreProperties>
</file>