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94788" w14:textId="77777777" w:rsidR="00EF3D91" w:rsidRDefault="00EF3D91" w:rsidP="00E0716D">
      <w:pPr>
        <w:jc w:val="center"/>
        <w:rPr>
          <w:b/>
          <w:sz w:val="28"/>
        </w:rPr>
      </w:pPr>
      <w:r w:rsidRPr="00EF3D91">
        <w:rPr>
          <w:b/>
          <w:sz w:val="28"/>
        </w:rPr>
        <w:t xml:space="preserve">In-situ SEI analysis at the electrode interface of electrolytes </w:t>
      </w:r>
    </w:p>
    <w:p w14:paraId="27A1EF8B" w14:textId="35A05A69" w:rsidR="00325004" w:rsidRDefault="00EF3D91" w:rsidP="00E0716D">
      <w:pPr>
        <w:jc w:val="center"/>
        <w:rPr>
          <w:b/>
          <w:sz w:val="28"/>
        </w:rPr>
      </w:pPr>
      <w:r w:rsidRPr="00EF3D91">
        <w:rPr>
          <w:b/>
          <w:sz w:val="28"/>
        </w:rPr>
        <w:t>using soft x-ray absorption spectroscopy</w:t>
      </w:r>
    </w:p>
    <w:p w14:paraId="415A05E1" w14:textId="77777777" w:rsidR="00EF3D91" w:rsidRPr="00A86EB9" w:rsidRDefault="00EF3D91" w:rsidP="00E0716D">
      <w:pPr>
        <w:jc w:val="center"/>
        <w:rPr>
          <w:b/>
          <w:sz w:val="28"/>
        </w:rPr>
      </w:pPr>
    </w:p>
    <w:p w14:paraId="0A6F7F64" w14:textId="7A7011F0" w:rsidR="00325004" w:rsidRDefault="00EF3D91" w:rsidP="00E0716D">
      <w:pPr>
        <w:jc w:val="center"/>
        <w:rPr>
          <w:lang w:eastAsia="ja-JP"/>
        </w:rPr>
      </w:pPr>
      <w:r>
        <w:rPr>
          <w:rFonts w:hint="eastAsia"/>
          <w:u w:val="single"/>
          <w:lang w:eastAsia="ja-JP"/>
        </w:rPr>
        <w:t>Naoya Nishi</w:t>
      </w:r>
      <w:r w:rsidR="00325004">
        <w:t>,</w:t>
      </w:r>
      <w:r w:rsidR="008E5B88" w:rsidRPr="008E5B88">
        <w:rPr>
          <w:rFonts w:hint="eastAsia"/>
          <w:vertAlign w:val="superscript"/>
          <w:lang w:eastAsia="ja-JP"/>
        </w:rPr>
        <w:t>1</w:t>
      </w:r>
      <w:r w:rsidR="00325004">
        <w:t xml:space="preserve"> </w:t>
      </w:r>
      <w:r>
        <w:rPr>
          <w:rFonts w:hint="eastAsia"/>
          <w:lang w:eastAsia="ja-JP"/>
        </w:rPr>
        <w:t>Kazuma Yamaguchi,</w:t>
      </w:r>
      <w:r w:rsidR="008E5B88" w:rsidRPr="008E5B88">
        <w:rPr>
          <w:rFonts w:hint="eastAsia"/>
          <w:vertAlign w:val="superscript"/>
          <w:lang w:eastAsia="ja-JP"/>
        </w:rPr>
        <w:t>1</w:t>
      </w:r>
      <w:r>
        <w:rPr>
          <w:rFonts w:hint="eastAsia"/>
          <w:lang w:eastAsia="ja-JP"/>
        </w:rPr>
        <w:t xml:space="preserve"> Fumitoshi Kumaki,</w:t>
      </w:r>
      <w:r w:rsidR="008E5B88" w:rsidRPr="008E5B88">
        <w:rPr>
          <w:rFonts w:hint="eastAsia"/>
          <w:vertAlign w:val="superscript"/>
          <w:lang w:eastAsia="ja-JP"/>
        </w:rPr>
        <w:t>2</w:t>
      </w:r>
      <w:r>
        <w:rPr>
          <w:rFonts w:hint="eastAsia"/>
          <w:lang w:eastAsia="ja-JP"/>
        </w:rPr>
        <w:t xml:space="preserve"> Masanari Nagasaka,</w:t>
      </w:r>
      <w:r w:rsidR="008E5B88" w:rsidRPr="008E5B88">
        <w:rPr>
          <w:rFonts w:hint="eastAsia"/>
          <w:vertAlign w:val="superscript"/>
          <w:lang w:eastAsia="ja-JP"/>
        </w:rPr>
        <w:t>3</w:t>
      </w:r>
      <w:r>
        <w:rPr>
          <w:rFonts w:hint="eastAsia"/>
          <w:lang w:eastAsia="ja-JP"/>
        </w:rPr>
        <w:t xml:space="preserve"> Yuko Yokoyama,</w:t>
      </w:r>
      <w:r w:rsidR="008E5B88" w:rsidRPr="008E5B88">
        <w:rPr>
          <w:rFonts w:hint="eastAsia"/>
          <w:vertAlign w:val="superscript"/>
          <w:lang w:eastAsia="ja-JP"/>
        </w:rPr>
        <w:t>1</w:t>
      </w:r>
      <w:r>
        <w:rPr>
          <w:rFonts w:hint="eastAsia"/>
          <w:lang w:eastAsia="ja-JP"/>
        </w:rPr>
        <w:t xml:space="preserve"> Tetsuo Sakka</w:t>
      </w:r>
      <w:r w:rsidR="008E5B88" w:rsidRPr="008E5B88">
        <w:rPr>
          <w:rFonts w:hint="eastAsia"/>
          <w:vertAlign w:val="superscript"/>
          <w:lang w:eastAsia="ja-JP"/>
        </w:rPr>
        <w:t>1</w:t>
      </w:r>
    </w:p>
    <w:p w14:paraId="7276D546" w14:textId="01D86F96" w:rsidR="00325004" w:rsidRPr="00A86EB9" w:rsidRDefault="00EF3D91" w:rsidP="00E0716D">
      <w:pPr>
        <w:jc w:val="center"/>
        <w:rPr>
          <w:i/>
          <w:lang w:eastAsia="ja-JP"/>
        </w:rPr>
      </w:pPr>
      <w:r w:rsidRPr="008E5B88">
        <w:rPr>
          <w:rFonts w:hint="eastAsia"/>
          <w:iCs/>
          <w:vertAlign w:val="superscript"/>
          <w:lang w:eastAsia="ja-JP"/>
        </w:rPr>
        <w:t>1</w:t>
      </w:r>
      <w:r>
        <w:rPr>
          <w:rFonts w:hint="eastAsia"/>
          <w:i/>
          <w:lang w:eastAsia="ja-JP"/>
        </w:rPr>
        <w:t>Department of Chemical Science and Engineering, Graduate School of Engineering, Kyoto University</w:t>
      </w:r>
    </w:p>
    <w:p w14:paraId="53E0D63D" w14:textId="200BDADF" w:rsidR="00325004" w:rsidRDefault="00EF3D91" w:rsidP="00E0716D">
      <w:pPr>
        <w:jc w:val="center"/>
        <w:rPr>
          <w:i/>
          <w:lang w:eastAsia="ja-JP"/>
        </w:rPr>
      </w:pPr>
      <w:r>
        <w:rPr>
          <w:rFonts w:hint="eastAsia"/>
          <w:i/>
          <w:lang w:eastAsia="ja-JP"/>
        </w:rPr>
        <w:t>Nishikyo-</w:t>
      </w:r>
      <w:proofErr w:type="spellStart"/>
      <w:r>
        <w:rPr>
          <w:rFonts w:hint="eastAsia"/>
          <w:i/>
          <w:lang w:eastAsia="ja-JP"/>
        </w:rPr>
        <w:t>ku</w:t>
      </w:r>
      <w:proofErr w:type="spellEnd"/>
      <w:r>
        <w:rPr>
          <w:rFonts w:hint="eastAsia"/>
          <w:i/>
          <w:lang w:eastAsia="ja-JP"/>
        </w:rPr>
        <w:t>, Kyoto, 615-8510, Japan</w:t>
      </w:r>
    </w:p>
    <w:p w14:paraId="3BACB7F2" w14:textId="50A0E553" w:rsidR="008E5B88" w:rsidRDefault="008E5B88" w:rsidP="00E0716D">
      <w:pPr>
        <w:jc w:val="center"/>
        <w:rPr>
          <w:i/>
          <w:lang w:eastAsia="ja-JP"/>
        </w:rPr>
      </w:pPr>
      <w:r w:rsidRPr="008E5B88">
        <w:rPr>
          <w:iCs/>
          <w:vertAlign w:val="superscript"/>
          <w:lang w:eastAsia="ja-JP"/>
        </w:rPr>
        <w:t>2</w:t>
      </w:r>
      <w:r w:rsidRPr="008E5B88">
        <w:rPr>
          <w:i/>
          <w:lang w:eastAsia="ja-JP"/>
        </w:rPr>
        <w:t>Department of Chemistry, Keio University, 3-14-1 Hiyoshi, Yokohama 223-8522, Japan</w:t>
      </w:r>
    </w:p>
    <w:p w14:paraId="3E80B0A5" w14:textId="5BCC4B74" w:rsidR="00EF3D91" w:rsidRDefault="008E5B88" w:rsidP="00E0716D">
      <w:pPr>
        <w:jc w:val="center"/>
        <w:rPr>
          <w:i/>
          <w:iCs/>
        </w:rPr>
      </w:pPr>
      <w:r>
        <w:rPr>
          <w:rFonts w:hint="eastAsia"/>
          <w:vertAlign w:val="superscript"/>
          <w:lang w:eastAsia="ja-JP"/>
        </w:rPr>
        <w:t>3</w:t>
      </w:r>
      <w:r w:rsidRPr="008E5B88">
        <w:rPr>
          <w:i/>
          <w:iCs/>
        </w:rPr>
        <w:t xml:space="preserve">Institute for Molecular Science, </w:t>
      </w:r>
      <w:r w:rsidR="003566CE">
        <w:rPr>
          <w:rFonts w:hint="eastAsia"/>
          <w:i/>
          <w:iCs/>
          <w:lang w:eastAsia="ja-JP"/>
        </w:rPr>
        <w:t xml:space="preserve">Myodaiji, </w:t>
      </w:r>
      <w:r w:rsidRPr="008E5B88">
        <w:rPr>
          <w:i/>
          <w:iCs/>
        </w:rPr>
        <w:t>Okazaki 444-8585, Japan</w:t>
      </w:r>
    </w:p>
    <w:p w14:paraId="7387CD14" w14:textId="1403DC98" w:rsidR="00685C1A" w:rsidRPr="00685C1A" w:rsidRDefault="00EF3D91" w:rsidP="00E0716D">
      <w:pPr>
        <w:jc w:val="center"/>
        <w:rPr>
          <w:i/>
        </w:rPr>
      </w:pPr>
      <w:r>
        <w:rPr>
          <w:rFonts w:hint="eastAsia"/>
          <w:i/>
          <w:lang w:eastAsia="ja-JP"/>
        </w:rPr>
        <w:t>nishi.naoya.7e@kyoto-u.ac.jp</w:t>
      </w:r>
    </w:p>
    <w:p w14:paraId="3BD38030" w14:textId="77777777" w:rsidR="00325004" w:rsidRDefault="00325004" w:rsidP="00E0716D">
      <w:pPr>
        <w:jc w:val="center"/>
      </w:pPr>
    </w:p>
    <w:p w14:paraId="06B11593" w14:textId="0DF550C9" w:rsidR="00325004" w:rsidRDefault="008E5B88" w:rsidP="008E5B88">
      <w:pPr>
        <w:ind w:firstLineChars="50" w:firstLine="100"/>
        <w:jc w:val="both"/>
      </w:pPr>
      <w:r w:rsidRPr="008E5B88">
        <w:t>In secondary batteries, the electrolyte is reduced on the negative electrode to form a solid electrolyte interphase (SEI).  This process is essential for achieving optimal battery performance, as the SEI prevents further electrolyte decomposition while allowing electroactive ions to pass through.  Therefore, it is crucial to investigate and control the SEI structure for improving the battery performance.  However, most studies have relied on ex-situ analyses of residual species on the electrode after cell disassembly and electrode surface washing, making it difficult to accurately characterize the SEI structure.  In this study, we employed an interface-selective soft X-ray absorption spectroscopy (XAS) to reveal the SEI structure at the electrode interface in an interface-selective manner [1].</w:t>
      </w:r>
    </w:p>
    <w:p w14:paraId="4E1F0F70" w14:textId="10B6D069" w:rsidR="008E5B88" w:rsidRPr="008E5B88" w:rsidRDefault="008E5B88" w:rsidP="008E5B88">
      <w:pPr>
        <w:pBdr>
          <w:top w:val="nil"/>
          <w:left w:val="nil"/>
          <w:bottom w:val="nil"/>
          <w:right w:val="nil"/>
          <w:between w:val="nil"/>
        </w:pBdr>
        <w:ind w:hanging="2"/>
        <w:jc w:val="both"/>
        <w:rPr>
          <w:color w:val="000000"/>
          <w:lang w:eastAsia="ja-JP"/>
        </w:rPr>
      </w:pPr>
      <w:r>
        <w:rPr>
          <w:rFonts w:eastAsia="Times New Roman"/>
          <w:color w:val="000000"/>
        </w:rPr>
        <w:t xml:space="preserve">  </w:t>
      </w:r>
      <w:r w:rsidRPr="00EB704C">
        <w:rPr>
          <w:rFonts w:eastAsia="Times New Roman"/>
          <w:color w:val="000000"/>
        </w:rPr>
        <w:t>In-situ XAS measurements for the electrode interface of electrolyte</w:t>
      </w:r>
      <w:r>
        <w:rPr>
          <w:rFonts w:hint="eastAsia"/>
          <w:color w:val="000000"/>
          <w:lang w:eastAsia="ja-JP"/>
        </w:rPr>
        <w:t>s</w:t>
      </w:r>
      <w:r w:rsidRPr="00EB704C">
        <w:rPr>
          <w:rFonts w:eastAsia="Times New Roman"/>
          <w:color w:val="000000"/>
        </w:rPr>
        <w:t xml:space="preserve"> were performed at BL3U at UVSOR-III, by using an electrochemical liquid flow cell [1].  The electrolyte was sandwiched </w:t>
      </w:r>
      <w:r>
        <w:rPr>
          <w:rFonts w:hint="eastAsia"/>
          <w:color w:val="000000"/>
        </w:rPr>
        <w:t>between</w:t>
      </w:r>
      <w:r w:rsidRPr="00EB704C">
        <w:rPr>
          <w:rFonts w:eastAsia="Times New Roman"/>
          <w:color w:val="000000"/>
        </w:rPr>
        <w:t xml:space="preserve"> two </w:t>
      </w:r>
      <w:proofErr w:type="spellStart"/>
      <w:r w:rsidRPr="00EB704C">
        <w:rPr>
          <w:rFonts w:eastAsia="Times New Roman"/>
          <w:color w:val="000000"/>
        </w:rPr>
        <w:t>SiC</w:t>
      </w:r>
      <w:proofErr w:type="spellEnd"/>
      <w:r w:rsidRPr="00EB704C">
        <w:rPr>
          <w:rFonts w:eastAsia="Times New Roman"/>
          <w:color w:val="000000"/>
        </w:rPr>
        <w:t xml:space="preserve"> membranes in </w:t>
      </w:r>
      <w:r>
        <w:rPr>
          <w:rFonts w:hint="eastAsia"/>
          <w:color w:val="000000"/>
        </w:rPr>
        <w:t>a</w:t>
      </w:r>
      <w:r w:rsidRPr="00EB704C">
        <w:rPr>
          <w:rFonts w:eastAsia="Times New Roman"/>
          <w:color w:val="000000"/>
        </w:rPr>
        <w:t xml:space="preserve"> He-filled chamber</w:t>
      </w:r>
      <w:r>
        <w:rPr>
          <w:rFonts w:hint="eastAsia"/>
          <w:color w:val="000000"/>
        </w:rPr>
        <w:t>,</w:t>
      </w:r>
      <w:r w:rsidRPr="00EB704C">
        <w:rPr>
          <w:rFonts w:eastAsia="Times New Roman"/>
          <w:color w:val="000000"/>
        </w:rPr>
        <w:t xml:space="preserve"> and XA spectra were measured in transmission mode for the nitrogen, oxygen, and fluorine K-edge regions.  The photon energy was calibrated </w:t>
      </w:r>
      <w:r>
        <w:rPr>
          <w:rFonts w:hint="eastAsia"/>
          <w:color w:val="000000"/>
        </w:rPr>
        <w:t>using</w:t>
      </w:r>
      <w:r w:rsidRPr="00EB704C">
        <w:rPr>
          <w:rFonts w:eastAsia="Times New Roman"/>
          <w:color w:val="000000"/>
        </w:rPr>
        <w:t xml:space="preserve"> the first peak in the nitrogen or oxygen K-edge region for a </w:t>
      </w:r>
      <w:proofErr w:type="spellStart"/>
      <w:r w:rsidRPr="00EB704C">
        <w:rPr>
          <w:rFonts w:eastAsia="Times New Roman"/>
          <w:color w:val="000000"/>
        </w:rPr>
        <w:t>ProLINE</w:t>
      </w:r>
      <w:proofErr w:type="spellEnd"/>
      <w:r w:rsidRPr="00EB704C">
        <w:rPr>
          <w:rFonts w:eastAsia="Times New Roman"/>
          <w:color w:val="000000"/>
        </w:rPr>
        <w:t xml:space="preserve"> polymer thin film in a vacuum chamber [</w:t>
      </w:r>
      <w:r>
        <w:rPr>
          <w:rFonts w:hint="eastAsia"/>
          <w:color w:val="000000"/>
        </w:rPr>
        <w:t>2</w:t>
      </w:r>
      <w:r w:rsidRPr="00EB704C">
        <w:rPr>
          <w:rFonts w:eastAsia="Times New Roman"/>
          <w:color w:val="000000"/>
        </w:rPr>
        <w:t xml:space="preserve">].  The </w:t>
      </w:r>
      <w:r>
        <w:rPr>
          <w:rFonts w:hint="eastAsia"/>
          <w:color w:val="000000"/>
        </w:rPr>
        <w:t xml:space="preserve">electrolyte </w:t>
      </w:r>
      <w:r w:rsidRPr="00EB704C">
        <w:rPr>
          <w:rFonts w:eastAsia="Times New Roman"/>
          <w:color w:val="000000"/>
        </w:rPr>
        <w:t>thickness was controlled with the He pressure [</w:t>
      </w:r>
      <w:r>
        <w:rPr>
          <w:rFonts w:hint="eastAsia"/>
          <w:color w:val="000000"/>
        </w:rPr>
        <w:t>3</w:t>
      </w:r>
      <w:r w:rsidRPr="00EB704C">
        <w:rPr>
          <w:rFonts w:eastAsia="Times New Roman"/>
          <w:color w:val="000000"/>
        </w:rPr>
        <w:t xml:space="preserve">].  </w:t>
      </w:r>
      <w:r>
        <w:rPr>
          <w:rFonts w:hint="eastAsia"/>
          <w:color w:val="000000"/>
        </w:rPr>
        <w:t>A</w:t>
      </w:r>
      <w:r w:rsidRPr="00EB704C">
        <w:rPr>
          <w:rFonts w:eastAsia="Times New Roman"/>
          <w:color w:val="000000"/>
        </w:rPr>
        <w:t xml:space="preserve"> platinum film deposited </w:t>
      </w:r>
      <w:r>
        <w:rPr>
          <w:rFonts w:hint="eastAsia"/>
          <w:color w:val="000000"/>
        </w:rPr>
        <w:t>on</w:t>
      </w:r>
      <w:r w:rsidRPr="00EB704C">
        <w:rPr>
          <w:rFonts w:eastAsia="Times New Roman"/>
          <w:color w:val="000000"/>
        </w:rPr>
        <w:t xml:space="preserve"> the inner surface of one of the two </w:t>
      </w:r>
      <w:proofErr w:type="spellStart"/>
      <w:r w:rsidRPr="00EB704C">
        <w:rPr>
          <w:rFonts w:eastAsia="Times New Roman"/>
          <w:color w:val="000000"/>
        </w:rPr>
        <w:t>SiC</w:t>
      </w:r>
      <w:proofErr w:type="spellEnd"/>
      <w:r w:rsidRPr="00EB704C">
        <w:rPr>
          <w:rFonts w:eastAsia="Times New Roman"/>
          <w:color w:val="000000"/>
        </w:rPr>
        <w:t xml:space="preserve"> membranes was used as the working electrode.  </w:t>
      </w:r>
      <w:r>
        <w:rPr>
          <w:rFonts w:hint="eastAsia"/>
          <w:color w:val="000000"/>
        </w:rPr>
        <w:t xml:space="preserve">Two </w:t>
      </w:r>
      <w:r w:rsidRPr="00EB704C">
        <w:rPr>
          <w:rFonts w:eastAsia="Times New Roman"/>
          <w:color w:val="000000"/>
        </w:rPr>
        <w:t>Pt wires</w:t>
      </w:r>
      <w:r>
        <w:rPr>
          <w:rFonts w:hint="eastAsia"/>
          <w:color w:val="000000"/>
        </w:rPr>
        <w:t xml:space="preserve"> </w:t>
      </w:r>
      <w:r w:rsidRPr="00EB704C">
        <w:rPr>
          <w:rFonts w:eastAsia="Times New Roman"/>
          <w:color w:val="000000"/>
        </w:rPr>
        <w:t>were located a</w:t>
      </w:r>
      <w:r>
        <w:rPr>
          <w:rFonts w:hint="eastAsia"/>
          <w:color w:val="000000"/>
        </w:rPr>
        <w:t>long</w:t>
      </w:r>
      <w:r w:rsidRPr="00EB704C">
        <w:rPr>
          <w:rFonts w:eastAsia="Times New Roman"/>
          <w:color w:val="000000"/>
        </w:rPr>
        <w:t>side the film region inside the electrochemical cell</w:t>
      </w:r>
      <w:r>
        <w:rPr>
          <w:rFonts w:hint="eastAsia"/>
          <w:color w:val="000000"/>
        </w:rPr>
        <w:t xml:space="preserve">, acting as </w:t>
      </w:r>
      <w:r w:rsidRPr="00EB704C">
        <w:rPr>
          <w:rFonts w:eastAsia="Times New Roman"/>
          <w:color w:val="000000"/>
        </w:rPr>
        <w:t>quasi-reference and counter electrodes.  The potential of the working electrode with respect to the quasi-reference electrode</w:t>
      </w:r>
      <w:r>
        <w:rPr>
          <w:rFonts w:hint="eastAsia"/>
          <w:color w:val="000000"/>
        </w:rPr>
        <w:t xml:space="preserve"> </w:t>
      </w:r>
      <w:r w:rsidRPr="00EB704C">
        <w:rPr>
          <w:rFonts w:eastAsia="Times New Roman"/>
          <w:color w:val="000000"/>
        </w:rPr>
        <w:t xml:space="preserve">was controlled using a </w:t>
      </w:r>
      <w:proofErr w:type="spellStart"/>
      <w:r w:rsidRPr="00EB704C">
        <w:rPr>
          <w:rFonts w:eastAsia="Times New Roman"/>
          <w:color w:val="000000"/>
        </w:rPr>
        <w:t>potentiostat</w:t>
      </w:r>
      <w:proofErr w:type="spellEnd"/>
      <w:r w:rsidRPr="00EB704C">
        <w:rPr>
          <w:rFonts w:eastAsia="Times New Roman"/>
          <w:color w:val="000000"/>
        </w:rPr>
        <w:t xml:space="preserve">. </w:t>
      </w:r>
      <w:r>
        <w:rPr>
          <w:rFonts w:hint="eastAsia"/>
          <w:color w:val="000000"/>
        </w:rPr>
        <w:t xml:space="preserve">A </w:t>
      </w:r>
      <w:r w:rsidRPr="00EB704C">
        <w:rPr>
          <w:rFonts w:eastAsia="Times New Roman"/>
          <w:color w:val="000000"/>
        </w:rPr>
        <w:t>constant potential was applied for 30 min before each XAS measurement.</w:t>
      </w:r>
      <w:r>
        <w:rPr>
          <w:rFonts w:hint="eastAsia"/>
          <w:color w:val="000000"/>
          <w:lang w:eastAsia="ja-JP"/>
        </w:rPr>
        <w:t xml:space="preserve"> In the presentation, we will discuss how XA spectra vary with respect to the electrode potential, reflecting the SEI formed on the electrode.</w:t>
      </w:r>
    </w:p>
    <w:p w14:paraId="169FD2A6" w14:textId="77777777" w:rsidR="008E5B88" w:rsidRDefault="008E5B88" w:rsidP="00E0716D">
      <w:pPr>
        <w:jc w:val="both"/>
      </w:pPr>
    </w:p>
    <w:p w14:paraId="1C227F70" w14:textId="77777777" w:rsidR="008E5B88" w:rsidRPr="00675F3B" w:rsidRDefault="008E5B88" w:rsidP="008E5B88">
      <w:pPr>
        <w:pStyle w:val="ListParagraph"/>
        <w:numPr>
          <w:ilvl w:val="0"/>
          <w:numId w:val="1"/>
        </w:numPr>
        <w:pBdr>
          <w:top w:val="nil"/>
          <w:left w:val="nil"/>
          <w:bottom w:val="nil"/>
          <w:right w:val="nil"/>
          <w:between w:val="nil"/>
        </w:pBdr>
        <w:spacing w:line="240" w:lineRule="auto"/>
        <w:ind w:leftChars="0" w:firstLineChars="0"/>
        <w:rPr>
          <w:rFonts w:ascii="Times New Roman" w:eastAsia="Times New Roman" w:hAnsi="Times New Roman" w:cs="Times New Roman"/>
          <w:color w:val="000000"/>
          <w:sz w:val="20"/>
          <w:szCs w:val="20"/>
        </w:rPr>
      </w:pPr>
      <w:r w:rsidRPr="00E8102E">
        <w:rPr>
          <w:rFonts w:ascii="Times New Roman" w:eastAsia="Times New Roman" w:hAnsi="Times New Roman" w:cs="Times New Roman"/>
          <w:color w:val="000000"/>
          <w:sz w:val="20"/>
          <w:szCs w:val="20"/>
        </w:rPr>
        <w:t>M</w:t>
      </w:r>
      <w:r w:rsidRPr="00E8102E">
        <w:rPr>
          <w:rFonts w:ascii="Times New Roman" w:hAnsi="Times New Roman" w:cs="Times New Roman" w:hint="eastAsia"/>
          <w:color w:val="000000"/>
          <w:sz w:val="20"/>
          <w:szCs w:val="20"/>
        </w:rPr>
        <w:t>.</w:t>
      </w:r>
      <w:r w:rsidRPr="00E8102E">
        <w:rPr>
          <w:rFonts w:ascii="Times New Roman" w:eastAsia="Times New Roman" w:hAnsi="Times New Roman" w:cs="Times New Roman"/>
          <w:color w:val="000000"/>
          <w:sz w:val="20"/>
          <w:szCs w:val="20"/>
        </w:rPr>
        <w:t xml:space="preserve"> Nagasaka</w:t>
      </w:r>
      <w:r>
        <w:rPr>
          <w:rFonts w:ascii="Times New Roman" w:hAnsi="Times New Roman" w:cs="Times New Roman" w:hint="eastAsia"/>
          <w:color w:val="000000"/>
          <w:sz w:val="20"/>
          <w:szCs w:val="20"/>
        </w:rPr>
        <w:t xml:space="preserve"> </w:t>
      </w:r>
      <w:r w:rsidRPr="0053014B">
        <w:rPr>
          <w:rFonts w:ascii="Times New Roman" w:hAnsi="Times New Roman" w:cs="Times New Roman" w:hint="eastAsia"/>
          <w:i/>
          <w:iCs/>
          <w:color w:val="000000"/>
          <w:sz w:val="20"/>
          <w:szCs w:val="20"/>
        </w:rPr>
        <w:t>et al.</w:t>
      </w:r>
      <w:r w:rsidRPr="00E8102E">
        <w:rPr>
          <w:rFonts w:ascii="Times New Roman" w:eastAsia="Times New Roman" w:hAnsi="Times New Roman" w:cs="Times New Roman"/>
          <w:color w:val="000000"/>
          <w:sz w:val="20"/>
          <w:szCs w:val="20"/>
        </w:rPr>
        <w:t xml:space="preserve">, </w:t>
      </w:r>
      <w:r>
        <w:rPr>
          <w:rFonts w:ascii="Times New Roman" w:hAnsi="Times New Roman" w:cs="Times New Roman" w:hint="eastAsia"/>
          <w:color w:val="000000"/>
          <w:sz w:val="20"/>
          <w:szCs w:val="20"/>
        </w:rPr>
        <w:t>Rev</w:t>
      </w:r>
      <w:r w:rsidRPr="00E8102E">
        <w:rPr>
          <w:rFonts w:ascii="Times New Roman" w:hAnsi="Times New Roman" w:cs="Times New Roman" w:hint="eastAsia"/>
          <w:color w:val="000000"/>
          <w:sz w:val="20"/>
          <w:szCs w:val="20"/>
        </w:rPr>
        <w:t xml:space="preserve">. </w:t>
      </w:r>
      <w:r>
        <w:rPr>
          <w:rFonts w:ascii="Times New Roman" w:hAnsi="Times New Roman" w:cs="Times New Roman" w:hint="eastAsia"/>
          <w:color w:val="000000"/>
          <w:sz w:val="20"/>
          <w:szCs w:val="20"/>
        </w:rPr>
        <w:t xml:space="preserve">Sci. </w:t>
      </w:r>
      <w:proofErr w:type="spellStart"/>
      <w:r>
        <w:rPr>
          <w:rFonts w:ascii="Times New Roman" w:hAnsi="Times New Roman" w:cs="Times New Roman" w:hint="eastAsia"/>
          <w:color w:val="000000"/>
          <w:sz w:val="20"/>
          <w:szCs w:val="20"/>
        </w:rPr>
        <w:t>Instrum</w:t>
      </w:r>
      <w:proofErr w:type="spellEnd"/>
      <w:r w:rsidRPr="00E8102E">
        <w:rPr>
          <w:rFonts w:ascii="Times New Roman" w:hAnsi="Times New Roman" w:cs="Times New Roman" w:hint="eastAsia"/>
          <w:color w:val="000000"/>
          <w:sz w:val="20"/>
          <w:szCs w:val="20"/>
        </w:rPr>
        <w:t>.</w:t>
      </w:r>
      <w:r w:rsidRPr="00E8102E">
        <w:rPr>
          <w:rFonts w:ascii="Times New Roman" w:hAnsi="Times New Roman" w:cs="Times New Roman"/>
          <w:color w:val="000000"/>
          <w:sz w:val="20"/>
          <w:szCs w:val="20"/>
        </w:rPr>
        <w:t xml:space="preserve"> </w:t>
      </w:r>
      <w:r>
        <w:rPr>
          <w:rFonts w:ascii="Times New Roman" w:hAnsi="Times New Roman" w:cs="Times New Roman" w:hint="eastAsia"/>
          <w:b/>
          <w:bCs/>
          <w:color w:val="000000"/>
          <w:sz w:val="20"/>
          <w:szCs w:val="20"/>
        </w:rPr>
        <w:t>85</w:t>
      </w:r>
      <w:r w:rsidRPr="00E8102E">
        <w:rPr>
          <w:rFonts w:ascii="Times New Roman" w:hAnsi="Times New Roman" w:cs="Times New Roman"/>
          <w:color w:val="000000"/>
          <w:sz w:val="20"/>
          <w:szCs w:val="20"/>
        </w:rPr>
        <w:t xml:space="preserve"> (201</w:t>
      </w:r>
      <w:r>
        <w:rPr>
          <w:rFonts w:ascii="Times New Roman" w:hAnsi="Times New Roman" w:cs="Times New Roman" w:hint="eastAsia"/>
          <w:color w:val="000000"/>
          <w:sz w:val="20"/>
          <w:szCs w:val="20"/>
        </w:rPr>
        <w:t>4</w:t>
      </w:r>
      <w:r w:rsidRPr="00E8102E">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104105</w:t>
      </w:r>
      <w:r w:rsidRPr="00E8102E">
        <w:rPr>
          <w:rFonts w:ascii="Times New Roman" w:eastAsia="Times New Roman" w:hAnsi="Times New Roman" w:cs="Times New Roman"/>
          <w:color w:val="000000"/>
          <w:sz w:val="20"/>
          <w:szCs w:val="20"/>
        </w:rPr>
        <w:t>.</w:t>
      </w:r>
    </w:p>
    <w:p w14:paraId="66FA9810" w14:textId="77777777" w:rsidR="008E5B88" w:rsidRPr="00215CFC" w:rsidRDefault="008E5B88" w:rsidP="008E5B88">
      <w:pPr>
        <w:pStyle w:val="ListParagraph"/>
        <w:numPr>
          <w:ilvl w:val="0"/>
          <w:numId w:val="1"/>
        </w:numPr>
        <w:pBdr>
          <w:top w:val="nil"/>
          <w:left w:val="nil"/>
          <w:bottom w:val="nil"/>
          <w:right w:val="nil"/>
          <w:between w:val="nil"/>
        </w:pBdr>
        <w:spacing w:line="240" w:lineRule="auto"/>
        <w:ind w:leftChars="0" w:firstLineChars="0"/>
        <w:rPr>
          <w:rFonts w:ascii="Times New Roman" w:eastAsia="Times New Roman" w:hAnsi="Times New Roman" w:cs="Times New Roman"/>
          <w:color w:val="000000"/>
          <w:sz w:val="20"/>
          <w:szCs w:val="20"/>
        </w:rPr>
      </w:pPr>
      <w:r>
        <w:rPr>
          <w:rFonts w:ascii="Times New Roman" w:hAnsi="Times New Roman" w:cs="Times New Roman" w:hint="eastAsia"/>
          <w:color w:val="000000"/>
          <w:sz w:val="20"/>
          <w:szCs w:val="20"/>
        </w:rPr>
        <w:t xml:space="preserve">M. Nagasaka </w:t>
      </w:r>
      <w:r w:rsidRPr="0053014B">
        <w:rPr>
          <w:rFonts w:ascii="Times New Roman" w:hAnsi="Times New Roman" w:cs="Times New Roman" w:hint="eastAsia"/>
          <w:i/>
          <w:iCs/>
          <w:color w:val="000000"/>
          <w:sz w:val="20"/>
          <w:szCs w:val="20"/>
        </w:rPr>
        <w:t>et al.</w:t>
      </w:r>
      <w:r w:rsidRPr="00E8102E">
        <w:rPr>
          <w:rFonts w:ascii="Times New Roman" w:eastAsia="Times New Roman" w:hAnsi="Times New Roman" w:cs="Times New Roman"/>
          <w:color w:val="000000"/>
          <w:sz w:val="20"/>
          <w:szCs w:val="20"/>
        </w:rPr>
        <w:t xml:space="preserve">, </w:t>
      </w:r>
      <w:r>
        <w:rPr>
          <w:rFonts w:ascii="Times New Roman" w:hAnsi="Times New Roman" w:cs="Times New Roman" w:hint="eastAsia"/>
          <w:color w:val="000000"/>
          <w:sz w:val="20"/>
          <w:szCs w:val="20"/>
        </w:rPr>
        <w:t xml:space="preserve">J. Electron Spectrosc. </w:t>
      </w:r>
      <w:proofErr w:type="spellStart"/>
      <w:r>
        <w:rPr>
          <w:rFonts w:ascii="Times New Roman" w:hAnsi="Times New Roman" w:cs="Times New Roman" w:hint="eastAsia"/>
          <w:color w:val="000000"/>
          <w:sz w:val="20"/>
          <w:szCs w:val="20"/>
        </w:rPr>
        <w:t>Relat</w:t>
      </w:r>
      <w:proofErr w:type="spellEnd"/>
      <w:r>
        <w:rPr>
          <w:rFonts w:ascii="Times New Roman" w:hAnsi="Times New Roman" w:cs="Times New Roman" w:hint="eastAsia"/>
          <w:color w:val="000000"/>
          <w:sz w:val="20"/>
          <w:szCs w:val="20"/>
        </w:rPr>
        <w:t>. Phenom.</w:t>
      </w:r>
      <w:r w:rsidRPr="00E8102E">
        <w:rPr>
          <w:rFonts w:ascii="Times New Roman" w:hAnsi="Times New Roman" w:cs="Times New Roman"/>
          <w:color w:val="000000"/>
          <w:sz w:val="20"/>
          <w:szCs w:val="20"/>
        </w:rPr>
        <w:t xml:space="preserve"> </w:t>
      </w:r>
      <w:r>
        <w:rPr>
          <w:rFonts w:ascii="Times New Roman" w:hAnsi="Times New Roman" w:cs="Times New Roman" w:hint="eastAsia"/>
          <w:b/>
          <w:bCs/>
          <w:color w:val="000000"/>
          <w:sz w:val="20"/>
          <w:szCs w:val="20"/>
        </w:rPr>
        <w:t>224</w:t>
      </w:r>
      <w:r w:rsidRPr="00E8102E">
        <w:rPr>
          <w:rFonts w:ascii="Times New Roman" w:hAnsi="Times New Roman" w:cs="Times New Roman"/>
          <w:color w:val="000000"/>
          <w:sz w:val="20"/>
          <w:szCs w:val="20"/>
        </w:rPr>
        <w:t xml:space="preserve"> (201</w:t>
      </w:r>
      <w:r>
        <w:rPr>
          <w:rFonts w:ascii="Times New Roman" w:hAnsi="Times New Roman" w:cs="Times New Roman" w:hint="eastAsia"/>
          <w:color w:val="000000"/>
          <w:sz w:val="20"/>
          <w:szCs w:val="20"/>
        </w:rPr>
        <w:t>8</w:t>
      </w:r>
      <w:r w:rsidRPr="00E8102E">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93</w:t>
      </w:r>
      <w:r w:rsidRPr="00E8102E">
        <w:rPr>
          <w:rFonts w:ascii="Times New Roman" w:eastAsia="Times New Roman" w:hAnsi="Times New Roman" w:cs="Times New Roman"/>
          <w:color w:val="000000"/>
          <w:sz w:val="20"/>
          <w:szCs w:val="20"/>
        </w:rPr>
        <w:t>.</w:t>
      </w:r>
    </w:p>
    <w:p w14:paraId="36A88357" w14:textId="3B4E5ACB" w:rsidR="008E5B88" w:rsidRPr="0028501D" w:rsidRDefault="008E5B88" w:rsidP="008E5B88">
      <w:pPr>
        <w:pStyle w:val="ListParagraph"/>
        <w:numPr>
          <w:ilvl w:val="0"/>
          <w:numId w:val="1"/>
        </w:numPr>
        <w:pBdr>
          <w:top w:val="nil"/>
          <w:left w:val="nil"/>
          <w:bottom w:val="nil"/>
          <w:right w:val="nil"/>
          <w:between w:val="nil"/>
        </w:pBdr>
        <w:spacing w:line="240" w:lineRule="auto"/>
        <w:ind w:leftChars="0" w:firstLineChars="0"/>
        <w:rPr>
          <w:rFonts w:ascii="Times New Roman" w:eastAsia="Times New Roman" w:hAnsi="Times New Roman" w:cs="Times New Roman"/>
          <w:color w:val="000000"/>
          <w:sz w:val="20"/>
          <w:szCs w:val="20"/>
        </w:rPr>
      </w:pPr>
      <w:r w:rsidRPr="00E8102E">
        <w:rPr>
          <w:rFonts w:ascii="Times New Roman" w:eastAsia="Times New Roman" w:hAnsi="Times New Roman" w:cs="Times New Roman"/>
          <w:color w:val="000000"/>
          <w:sz w:val="20"/>
          <w:szCs w:val="20"/>
        </w:rPr>
        <w:t>M</w:t>
      </w:r>
      <w:r w:rsidRPr="00E8102E">
        <w:rPr>
          <w:rFonts w:ascii="Times New Roman" w:hAnsi="Times New Roman" w:cs="Times New Roman" w:hint="eastAsia"/>
          <w:color w:val="000000"/>
          <w:sz w:val="20"/>
          <w:szCs w:val="20"/>
        </w:rPr>
        <w:t>.</w:t>
      </w:r>
      <w:r w:rsidRPr="00E8102E">
        <w:rPr>
          <w:rFonts w:ascii="Times New Roman" w:eastAsia="Times New Roman" w:hAnsi="Times New Roman" w:cs="Times New Roman"/>
          <w:color w:val="000000"/>
          <w:sz w:val="20"/>
          <w:szCs w:val="20"/>
        </w:rPr>
        <w:t xml:space="preserve"> Nagasaka</w:t>
      </w:r>
      <w:r>
        <w:rPr>
          <w:rFonts w:ascii="Times New Roman" w:hAnsi="Times New Roman" w:cs="Times New Roman" w:hint="eastAsia"/>
          <w:color w:val="000000"/>
          <w:sz w:val="20"/>
          <w:szCs w:val="20"/>
        </w:rPr>
        <w:t xml:space="preserve"> </w:t>
      </w:r>
      <w:r w:rsidRPr="0053014B">
        <w:rPr>
          <w:rFonts w:ascii="Times New Roman" w:hAnsi="Times New Roman" w:cs="Times New Roman" w:hint="eastAsia"/>
          <w:i/>
          <w:iCs/>
          <w:color w:val="000000"/>
          <w:sz w:val="20"/>
          <w:szCs w:val="20"/>
        </w:rPr>
        <w:t>et al.</w:t>
      </w:r>
      <w:r w:rsidRPr="00E8102E">
        <w:rPr>
          <w:rFonts w:ascii="Times New Roman" w:eastAsia="Times New Roman" w:hAnsi="Times New Roman" w:cs="Times New Roman"/>
          <w:color w:val="000000"/>
          <w:sz w:val="20"/>
          <w:szCs w:val="20"/>
        </w:rPr>
        <w:t xml:space="preserve">, </w:t>
      </w:r>
      <w:r w:rsidR="003566CE">
        <w:rPr>
          <w:rFonts w:ascii="Times New Roman" w:hAnsi="Times New Roman" w:cs="Times New Roman" w:hint="eastAsia"/>
          <w:color w:val="000000"/>
          <w:sz w:val="20"/>
          <w:szCs w:val="20"/>
        </w:rPr>
        <w:t xml:space="preserve">Anal. Sci. </w:t>
      </w:r>
      <w:r w:rsidR="003566CE" w:rsidRPr="00CC6A09">
        <w:rPr>
          <w:rFonts w:ascii="Times New Roman" w:hAnsi="Times New Roman" w:cs="Times New Roman"/>
          <w:b/>
          <w:bCs/>
          <w:color w:val="000000"/>
          <w:sz w:val="20"/>
          <w:szCs w:val="20"/>
        </w:rPr>
        <w:t>36</w:t>
      </w:r>
      <w:r w:rsidR="003566CE">
        <w:rPr>
          <w:rFonts w:ascii="Times New Roman" w:hAnsi="Times New Roman" w:cs="Times New Roman" w:hint="eastAsia"/>
          <w:color w:val="000000"/>
          <w:sz w:val="20"/>
          <w:szCs w:val="20"/>
        </w:rPr>
        <w:t xml:space="preserve"> (2020) 95.</w:t>
      </w:r>
    </w:p>
    <w:p w14:paraId="49C13814" w14:textId="77777777" w:rsidR="00325004" w:rsidRDefault="00325004" w:rsidP="00E0716D">
      <w:pPr>
        <w:jc w:val="both"/>
      </w:pPr>
    </w:p>
    <w:p w14:paraId="7197E6E1"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5E425A"/>
    <w:multiLevelType w:val="hybridMultilevel"/>
    <w:tmpl w:val="8AC2D7EA"/>
    <w:lvl w:ilvl="0" w:tplc="C32E603A">
      <w:start w:val="1"/>
      <w:numFmt w:val="decimal"/>
      <w:lvlText w:val="[%1]"/>
      <w:lvlJc w:val="left"/>
      <w:pPr>
        <w:ind w:left="438" w:hanging="440"/>
      </w:pPr>
      <w:rPr>
        <w:rFonts w:eastAsia="ＭＳ 明朝" w:hint="eastAsia"/>
      </w:rPr>
    </w:lvl>
    <w:lvl w:ilvl="1" w:tplc="04090017" w:tentative="1">
      <w:start w:val="1"/>
      <w:numFmt w:val="aiueoFullWidth"/>
      <w:lvlText w:val="(%2)"/>
      <w:lvlJc w:val="left"/>
      <w:pPr>
        <w:ind w:left="878" w:hanging="440"/>
      </w:pPr>
    </w:lvl>
    <w:lvl w:ilvl="2" w:tplc="04090011" w:tentative="1">
      <w:start w:val="1"/>
      <w:numFmt w:val="decimalEnclosedCircle"/>
      <w:lvlText w:val="%3"/>
      <w:lvlJc w:val="left"/>
      <w:pPr>
        <w:ind w:left="1318" w:hanging="440"/>
      </w:pPr>
    </w:lvl>
    <w:lvl w:ilvl="3" w:tplc="0409000F" w:tentative="1">
      <w:start w:val="1"/>
      <w:numFmt w:val="decimal"/>
      <w:lvlText w:val="%4."/>
      <w:lvlJc w:val="left"/>
      <w:pPr>
        <w:ind w:left="1758" w:hanging="440"/>
      </w:pPr>
    </w:lvl>
    <w:lvl w:ilvl="4" w:tplc="04090017" w:tentative="1">
      <w:start w:val="1"/>
      <w:numFmt w:val="aiueoFullWidth"/>
      <w:lvlText w:val="(%5)"/>
      <w:lvlJc w:val="left"/>
      <w:pPr>
        <w:ind w:left="2198" w:hanging="440"/>
      </w:pPr>
    </w:lvl>
    <w:lvl w:ilvl="5" w:tplc="04090011" w:tentative="1">
      <w:start w:val="1"/>
      <w:numFmt w:val="decimalEnclosedCircle"/>
      <w:lvlText w:val="%6"/>
      <w:lvlJc w:val="left"/>
      <w:pPr>
        <w:ind w:left="2638" w:hanging="440"/>
      </w:pPr>
    </w:lvl>
    <w:lvl w:ilvl="6" w:tplc="0409000F" w:tentative="1">
      <w:start w:val="1"/>
      <w:numFmt w:val="decimal"/>
      <w:lvlText w:val="%7."/>
      <w:lvlJc w:val="left"/>
      <w:pPr>
        <w:ind w:left="3078" w:hanging="440"/>
      </w:pPr>
    </w:lvl>
    <w:lvl w:ilvl="7" w:tplc="04090017" w:tentative="1">
      <w:start w:val="1"/>
      <w:numFmt w:val="aiueoFullWidth"/>
      <w:lvlText w:val="(%8)"/>
      <w:lvlJc w:val="left"/>
      <w:pPr>
        <w:ind w:left="3518" w:hanging="440"/>
      </w:pPr>
    </w:lvl>
    <w:lvl w:ilvl="8" w:tplc="04090011" w:tentative="1">
      <w:start w:val="1"/>
      <w:numFmt w:val="decimalEnclosedCircle"/>
      <w:lvlText w:val="%9"/>
      <w:lvlJc w:val="left"/>
      <w:pPr>
        <w:ind w:left="3958" w:hanging="440"/>
      </w:pPr>
    </w:lvl>
  </w:abstractNum>
  <w:num w:numId="1" w16cid:durableId="140386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C6610"/>
    <w:rsid w:val="00325004"/>
    <w:rsid w:val="003566CE"/>
    <w:rsid w:val="004B2776"/>
    <w:rsid w:val="00536366"/>
    <w:rsid w:val="00685C1A"/>
    <w:rsid w:val="008E5B88"/>
    <w:rsid w:val="00B11432"/>
    <w:rsid w:val="00CC6A09"/>
    <w:rsid w:val="00E0716D"/>
    <w:rsid w:val="00EF3D9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282FD75"/>
  <w14:defaultImageDpi w14:val="300"/>
  <w15:docId w15:val="{B63C5EF6-21F4-4122-A6FB-5332FD63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B88"/>
    <w:pPr>
      <w:suppressAutoHyphens/>
      <w:spacing w:line="1" w:lineRule="atLeast"/>
      <w:ind w:leftChars="400" w:left="840" w:hangingChars="1" w:hanging="1"/>
      <w:jc w:val="both"/>
      <w:textDirection w:val="btLr"/>
      <w:textAlignment w:val="top"/>
      <w:outlineLvl w:val="0"/>
    </w:pPr>
    <w:rPr>
      <w:rFonts w:ascii="Century" w:hAnsi="Century" w:cs="Century"/>
      <w:snapToGrid/>
      <w:kern w:val="2"/>
      <w:position w:val="-1"/>
      <w:sz w:val="21"/>
      <w:szCs w:val="24"/>
      <w:lang w:eastAsia="ja-JP"/>
    </w:rPr>
  </w:style>
  <w:style w:type="paragraph" w:styleId="Revision">
    <w:name w:val="Revision"/>
    <w:hidden/>
    <w:uiPriority w:val="99"/>
    <w:semiHidden/>
    <w:rsid w:val="003566CE"/>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nishi.naoya.7e@ms.c.kyoto-u.ac.jp</cp:lastModifiedBy>
  <cp:revision>2</cp:revision>
  <cp:lastPrinted>2013-10-21T12:07:00Z</cp:lastPrinted>
  <dcterms:created xsi:type="dcterms:W3CDTF">2026-05-28T07:35:00Z</dcterms:created>
  <dcterms:modified xsi:type="dcterms:W3CDTF">2026-05-28T07:35:00Z</dcterms:modified>
</cp:coreProperties>
</file>