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B4F7" w14:textId="4B5912FC" w:rsidR="00325004" w:rsidRPr="00A86EB9" w:rsidRDefault="00FD7BF6" w:rsidP="00E0716D">
      <w:pPr>
        <w:jc w:val="center"/>
        <w:rPr>
          <w:b/>
          <w:sz w:val="28"/>
        </w:rPr>
      </w:pPr>
      <w:r w:rsidRPr="00FD7BF6">
        <w:rPr>
          <w:b/>
          <w:sz w:val="28"/>
        </w:rPr>
        <w:t>Decoding Iridium Dissolution in PEMWE Anode Catalyst Layers through Gradient Coating and Operando Analysis</w:t>
      </w:r>
    </w:p>
    <w:p w14:paraId="5FCB5982" w14:textId="77777777" w:rsidR="00325004" w:rsidRPr="00A86EB9" w:rsidRDefault="00325004" w:rsidP="00E0716D">
      <w:pPr>
        <w:jc w:val="center"/>
        <w:rPr>
          <w:b/>
          <w:sz w:val="28"/>
        </w:rPr>
      </w:pPr>
    </w:p>
    <w:p w14:paraId="1735B682" w14:textId="04DCF6A8" w:rsidR="00325004" w:rsidRPr="00E100FD" w:rsidRDefault="00AC0389" w:rsidP="00E0716D">
      <w:pPr>
        <w:jc w:val="center"/>
        <w:rPr>
          <w:lang w:val="en-GB"/>
        </w:rPr>
      </w:pPr>
      <w:r w:rsidRPr="00E100FD">
        <w:rPr>
          <w:u w:val="single"/>
          <w:lang w:val="en-GB"/>
        </w:rPr>
        <w:t xml:space="preserve">D. </w:t>
      </w:r>
      <w:proofErr w:type="spellStart"/>
      <w:r w:rsidRPr="00E100FD">
        <w:rPr>
          <w:u w:val="single"/>
          <w:lang w:val="en-GB"/>
        </w:rPr>
        <w:t>Dworschak</w:t>
      </w:r>
      <w:r w:rsidR="00325004" w:rsidRPr="00E100FD">
        <w:rPr>
          <w:lang w:val="en-GB"/>
        </w:rPr>
        <w:t>,</w:t>
      </w:r>
      <w:r w:rsidR="00E100FD" w:rsidRPr="000D1F10">
        <w:rPr>
          <w:vertAlign w:val="superscript"/>
          <w:lang w:val="en-GB"/>
        </w:rPr>
        <w:t>a</w:t>
      </w:r>
      <w:proofErr w:type="spellEnd"/>
      <w:r w:rsidR="00325004" w:rsidRPr="00E100FD">
        <w:rPr>
          <w:lang w:val="en-GB"/>
        </w:rPr>
        <w:t xml:space="preserve"> </w:t>
      </w:r>
      <w:r w:rsidRPr="00E100FD">
        <w:rPr>
          <w:lang w:val="en-GB"/>
        </w:rPr>
        <w:t>N</w:t>
      </w:r>
      <w:r w:rsidR="00E100FD">
        <w:rPr>
          <w:lang w:val="en-GB"/>
        </w:rPr>
        <w:t>. C</w:t>
      </w:r>
      <w:r w:rsidRPr="00E100FD">
        <w:rPr>
          <w:lang w:val="en-GB"/>
        </w:rPr>
        <w:t xml:space="preserve">. </w:t>
      </w:r>
      <w:proofErr w:type="spellStart"/>
      <w:proofErr w:type="gramStart"/>
      <w:r w:rsidRPr="00E100FD">
        <w:rPr>
          <w:lang w:val="en-GB"/>
        </w:rPr>
        <w:t>Röttcher,</w:t>
      </w:r>
      <w:r w:rsidR="00E100FD" w:rsidRPr="00E100FD">
        <w:rPr>
          <w:vertAlign w:val="superscript"/>
          <w:lang w:val="en-GB"/>
        </w:rPr>
        <w:t>a</w:t>
      </w:r>
      <w:proofErr w:type="spellEnd"/>
      <w:proofErr w:type="gramEnd"/>
      <w:r w:rsidR="00E100FD" w:rsidRPr="00E100FD">
        <w:rPr>
          <w:vertAlign w:val="superscript"/>
          <w:lang w:val="en-GB"/>
        </w:rPr>
        <w:t>, b</w:t>
      </w:r>
      <w:r w:rsidRPr="00E100FD">
        <w:rPr>
          <w:lang w:val="en-GB"/>
        </w:rPr>
        <w:t xml:space="preserve"> G. Pätzold,</w:t>
      </w:r>
      <w:r w:rsidR="00E100FD" w:rsidRPr="00E100FD">
        <w:rPr>
          <w:vertAlign w:val="superscript"/>
          <w:lang w:val="en-GB"/>
        </w:rPr>
        <w:t xml:space="preserve"> </w:t>
      </w:r>
      <w:r w:rsidR="00E100FD" w:rsidRPr="00E100FD">
        <w:rPr>
          <w:vertAlign w:val="superscript"/>
          <w:lang w:val="en-GB"/>
        </w:rPr>
        <w:t>a, b</w:t>
      </w:r>
      <w:r w:rsidRPr="00E100FD">
        <w:rPr>
          <w:lang w:val="en-GB"/>
        </w:rPr>
        <w:t xml:space="preserve"> S. Thiele,</w:t>
      </w:r>
      <w:r w:rsidR="00E100FD" w:rsidRPr="00E100FD">
        <w:rPr>
          <w:vertAlign w:val="superscript"/>
          <w:lang w:val="en-GB"/>
        </w:rPr>
        <w:t xml:space="preserve"> </w:t>
      </w:r>
      <w:r w:rsidR="00E100FD" w:rsidRPr="00E100FD">
        <w:rPr>
          <w:vertAlign w:val="superscript"/>
          <w:lang w:val="en-GB"/>
        </w:rPr>
        <w:t>a, b</w:t>
      </w:r>
      <w:r w:rsidRPr="00E100FD">
        <w:rPr>
          <w:lang w:val="en-GB"/>
        </w:rPr>
        <w:t xml:space="preserve"> K. </w:t>
      </w:r>
      <w:r w:rsidR="00E100FD">
        <w:rPr>
          <w:lang w:val="en-GB"/>
        </w:rPr>
        <w:t xml:space="preserve">J. J. </w:t>
      </w:r>
      <w:r w:rsidRPr="00E100FD">
        <w:rPr>
          <w:lang w:val="en-GB"/>
        </w:rPr>
        <w:t>Mayrhofer</w:t>
      </w:r>
      <w:r w:rsidR="00E100FD" w:rsidRPr="00E100FD">
        <w:rPr>
          <w:vertAlign w:val="superscript"/>
          <w:lang w:val="en-GB"/>
        </w:rPr>
        <w:t xml:space="preserve"> </w:t>
      </w:r>
      <w:r w:rsidR="00E100FD" w:rsidRPr="00E100FD">
        <w:rPr>
          <w:vertAlign w:val="superscript"/>
          <w:lang w:val="en-GB"/>
        </w:rPr>
        <w:t>a, b</w:t>
      </w:r>
    </w:p>
    <w:p w14:paraId="02A74A62" w14:textId="2D3A75A0" w:rsidR="00325004" w:rsidRPr="00AC0389" w:rsidRDefault="00E100FD" w:rsidP="00E0716D">
      <w:pPr>
        <w:jc w:val="center"/>
        <w:rPr>
          <w:i/>
          <w:lang w:val="de-DE"/>
        </w:rPr>
      </w:pPr>
      <w:r>
        <w:rPr>
          <w:i/>
          <w:lang w:val="de-DE"/>
        </w:rPr>
        <w:t xml:space="preserve">a) </w:t>
      </w:r>
      <w:r w:rsidR="00AC0389" w:rsidRPr="00AC0389">
        <w:rPr>
          <w:i/>
          <w:lang w:val="de-DE"/>
        </w:rPr>
        <w:t>Helmholtz Institute Erlangen N</w:t>
      </w:r>
      <w:r w:rsidR="00AC0389">
        <w:rPr>
          <w:i/>
          <w:lang w:val="de-DE"/>
        </w:rPr>
        <w:t xml:space="preserve">ürnberg </w:t>
      </w:r>
      <w:proofErr w:type="spellStart"/>
      <w:r w:rsidR="00AC0389">
        <w:rPr>
          <w:i/>
          <w:lang w:val="de-DE"/>
        </w:rPr>
        <w:t>for</w:t>
      </w:r>
      <w:proofErr w:type="spellEnd"/>
      <w:r w:rsidR="00AC0389">
        <w:rPr>
          <w:i/>
          <w:lang w:val="de-DE"/>
        </w:rPr>
        <w:t xml:space="preserve"> </w:t>
      </w:r>
      <w:proofErr w:type="spellStart"/>
      <w:r w:rsidR="00AC0389">
        <w:rPr>
          <w:i/>
          <w:lang w:val="de-DE"/>
        </w:rPr>
        <w:t>Renewable</w:t>
      </w:r>
      <w:proofErr w:type="spellEnd"/>
      <w:r w:rsidR="00AC0389">
        <w:rPr>
          <w:i/>
          <w:lang w:val="de-DE"/>
        </w:rPr>
        <w:t xml:space="preserve"> Energy</w:t>
      </w:r>
    </w:p>
    <w:p w14:paraId="66DD4B12" w14:textId="0567EE40" w:rsidR="00325004" w:rsidRDefault="00AC0389" w:rsidP="00E0716D">
      <w:pPr>
        <w:jc w:val="center"/>
        <w:rPr>
          <w:i/>
          <w:lang w:val="de-DE"/>
        </w:rPr>
      </w:pPr>
      <w:r>
        <w:rPr>
          <w:i/>
          <w:lang w:val="de-DE"/>
        </w:rPr>
        <w:t>Cauerstr. 1, 91058 Erlangen, Germany</w:t>
      </w:r>
    </w:p>
    <w:p w14:paraId="46CE4187" w14:textId="36BF3D4A" w:rsidR="00E100FD" w:rsidRPr="00E100FD" w:rsidRDefault="00E100FD" w:rsidP="00E100FD">
      <w:pPr>
        <w:jc w:val="center"/>
        <w:rPr>
          <w:i/>
        </w:rPr>
      </w:pPr>
      <w:r>
        <w:rPr>
          <w:i/>
        </w:rPr>
        <w:t xml:space="preserve">b) </w:t>
      </w:r>
      <w:r w:rsidRPr="0003650B">
        <w:rPr>
          <w:i/>
        </w:rPr>
        <w:t>Department of Chemical and Biological Engineering, Friedrich-Alexander-Universität Erlangen</w:t>
      </w:r>
      <w:r>
        <w:rPr>
          <w:i/>
        </w:rPr>
        <w:t xml:space="preserve"> </w:t>
      </w:r>
      <w:r w:rsidRPr="0003650B">
        <w:rPr>
          <w:i/>
        </w:rPr>
        <w:t>Nürnberg, Cauerstr. 1, 91058</w:t>
      </w:r>
      <w:r>
        <w:rPr>
          <w:i/>
        </w:rPr>
        <w:t xml:space="preserve"> </w:t>
      </w:r>
      <w:r w:rsidRPr="0003650B">
        <w:rPr>
          <w:i/>
        </w:rPr>
        <w:t>Erlangen, Germany.</w:t>
      </w:r>
    </w:p>
    <w:p w14:paraId="5295D798" w14:textId="0128FA67" w:rsidR="00685C1A" w:rsidRPr="00E100FD" w:rsidRDefault="00AC0389" w:rsidP="00E0716D">
      <w:pPr>
        <w:jc w:val="center"/>
        <w:rPr>
          <w:i/>
        </w:rPr>
      </w:pPr>
      <w:r w:rsidRPr="00E100FD">
        <w:rPr>
          <w:i/>
        </w:rPr>
        <w:t>d.dworschak@fz-juelich.de</w:t>
      </w:r>
    </w:p>
    <w:p w14:paraId="597CBBD5" w14:textId="77777777" w:rsidR="00325004" w:rsidRPr="00E100FD" w:rsidRDefault="00325004" w:rsidP="00E0716D">
      <w:pPr>
        <w:jc w:val="center"/>
      </w:pPr>
    </w:p>
    <w:p w14:paraId="5ED80C9F" w14:textId="2969ACC8" w:rsidR="00273FBF" w:rsidRDefault="00273FBF" w:rsidP="00273FBF">
      <w:pPr>
        <w:jc w:val="both"/>
      </w:pPr>
      <w:r>
        <w:t xml:space="preserve">Catalyst dissolution is one of the key challenges limiting the reduction of iridium loading in proton exchange membrane water </w:t>
      </w:r>
      <w:proofErr w:type="spellStart"/>
      <w:r>
        <w:t>electroly</w:t>
      </w:r>
      <w:r w:rsidR="00F61DEC">
        <w:t>z</w:t>
      </w:r>
      <w:r>
        <w:t>ers</w:t>
      </w:r>
      <w:proofErr w:type="spellEnd"/>
      <w:r>
        <w:t>. Although end-of-test analyses have shown that a large proportion of the dissolved iridium remains within the membrane-electrode assembly, such measurements provide only limited insight into the dynamics of dissolution, transport and potential redeposition during operation. Conversely, simpler aqueous model systems have improved mechanistic understanding but often overestimate dissolution rates compared to device-relevant catalyst layers.</w:t>
      </w:r>
      <w:r w:rsidR="00F958DC">
        <w:fldChar w:fldCharType="begin"/>
      </w:r>
      <w:r w:rsidR="00F958DC">
        <w:instrText xml:space="preserve"> ADDIN ZOTERO_ITEM CSL_CITATION {"citationID":"bmWYpWxz","properties":{"unsorted":false,"formattedCitation":"\\super 1\\nosupersub{}","plainCitation":"1","noteIndex":0},"citationItems":[{"id":879,"uris":["http://zotero.org/users/13124230/items/UVAQUHZT"],"itemData":{"id":879,"type":"article-journal","abstract":"Recently, attempts have been made to understand and quantify Ir dissolution in application-relevant single-cell electrolyzers. While obtaining crucial insights, these studies are hindered by intrinsic system complexity and the required labor-intensive microscopic analyses of cross sections of the used catalyst coated membranes. To expand the understanding of dissolution processes in realistic catalyst layers for the oxygen evolution reaction and to accelerate the discovery of dissolution-stable materials, we utilize herein a gas-diffusion type half-cell setup to observe and quantify Ir dissolution at application-relevant conditions. The operation of this setup allows the recording of multiple measurement points for a single electrode throughout an electrochemical protocol and, thus, the monitoring of changes in the dissolution of the Ir-containing catalyst layer over time. The results indicate (I) a temperature-dependent stabilization and activation of the catalyst during conditioning, (II) a beneficial effect on the Ir stability by the application of a protective voltage, and (III) a lower dissolution of Ir from catalyst layers containing rutile IrO2. Therefore, fast benchmarking in a gas-diffusion type setup can accelerate the development of improved dissolution-resistant catalyst layers and aid in developing dissolution-mitigating cell voltage management, which are crucial to achieving significant Ir-loading and cost reduction in proton exchange membrane water electrolysis.","container-title":"ACS Catalysis","DOI":"10.1021/acscatal.4c02159","issue":"15","journalAbbreviation":"ACS Catal.","page":"11819-11831","publisher":"American Chemical Society","source":"ACS Publications","title":"Quantification of Iridium Dissolution at Water Electrolysis Relevant Conditions Using a Gas Diffusion Electrode Half-Cell Setup","volume":"14","author":[{"family":"Geuß","given":"Moritz"},{"family":"Löttert","given":"Lukas"},{"family":"Böhm","given":"Thomas"},{"family":"Hutzler","given":"Andreas"},{"family":"Mayrhofer","given":"Karl J. J."},{"family":"Thiele","given":"Simon"},{"family":"Cherevko","given":"Serhiy"}],"issued":{"date-parts":[["2024",8,2]]}}}],"schema":"https://github.com/citation-style-language/schema/raw/master/csl-citation.json"} </w:instrText>
      </w:r>
      <w:r w:rsidR="00F958DC">
        <w:fldChar w:fldCharType="separate"/>
      </w:r>
      <w:r w:rsidR="00B3251E" w:rsidRPr="00B3251E">
        <w:rPr>
          <w:vertAlign w:val="superscript"/>
        </w:rPr>
        <w:t>1</w:t>
      </w:r>
      <w:r w:rsidR="00F958DC">
        <w:fldChar w:fldCharType="end"/>
      </w:r>
      <w:r>
        <w:t xml:space="preserve"> This gap highlights the need for in-situ approaches that investigate catalyst degradation under realistic catalyst layer and transport conditions.</w:t>
      </w:r>
    </w:p>
    <w:p w14:paraId="21692015" w14:textId="77777777" w:rsidR="00273FBF" w:rsidRDefault="00273FBF" w:rsidP="00273FBF">
      <w:pPr>
        <w:jc w:val="both"/>
      </w:pPr>
    </w:p>
    <w:p w14:paraId="590083D1" w14:textId="6B1EE43C" w:rsidR="00273FBF" w:rsidRDefault="00273FBF" w:rsidP="00273FBF">
      <w:pPr>
        <w:jc w:val="both"/>
      </w:pPr>
      <w:r>
        <w:t>To address this challenge, we have developed an electrochemical half-cell platform that mimics the environment of the anode catalyst layer whilst enabling operation at application-relevant current densities above 1 A cm⁻².</w:t>
      </w:r>
      <w:r w:rsidR="00F958DC">
        <w:fldChar w:fldCharType="begin"/>
      </w:r>
      <w:r w:rsidR="00F958DC">
        <w:instrText xml:space="preserve"> ADDIN ZOTERO_ITEM CSL_CITATION {"citationID":"JYOWTuuI","properties":{"unsorted":false,"formattedCitation":"\\super 2\\nosupersub{}","plainCitation":"2","noteIndex":0},"citationItems":[{"id":390,"uris":["http://zotero.org/users/13124230/items/BKDEX43C"],"itemData":{"id":390,"type":"article-journal","abstract":"Catalyst dissolution is one of the key challenges in achieving long‐term performance in proton exchange membrane water electrolysis with low iridium loading. However, most of the dissolved catalyst remains in the catalyst‐coated membrane, inaccessible for operando quantification. While simpler aqueous model systems improve mechanistic understanding, dissolution rates are significantly overestimated compared to the device level. To bridge this gap, herein, an electrochemical half‐cell setup that mimics the anode catalyst layer environment to enable operation at relevant current densities (&gt;1 ) is presented. Dissolved catalyst species transported through the porous transport layer or through the membrane are separately detected operando by coupling to inductively coupled plasma‐mass spectrometry. The results demonstrate a strong preference for the transport of dissolved iridium through the membrane (99.9%) and a decrease in catalyst stability by factor 10 at high current densities. Discrepancies with so far reported findings from full‐cell and half‐cell experiments highlight a lack of understanding of catalyst dissolution and the transportation of dissolved species in different systems. The presented method offers unique insights which will help to study and optimize catalyst dissolution by means of various manufacturing and operation parameters to ultimately improve the stability of catalyst layers for water electrolysis.","container-title":"ChemElectroChem","DOI":"10.1002/celc.202500098","ISSN":"2196-0216, 2196-0216","journalAbbreviation":"ChemElectroChem","language":"en","page":"2500098","source":"DOI.org (Crossref)","title":"Tracing Iridium Dissolution Pathways in Proton Exchange Membrane Water Electrolyzers at Relevant Current Densities in Real Time","volume":"12","author":[{"family":"Röttcher","given":"Nico C."},{"family":"Zhou","given":"Jiahua"},{"family":"Löttert","given":"Lukas"},{"family":"Mayrhofer","given":"Karl J. J."},{"family":"Dworschak","given":"Dominik"}],"issued":{"date-parts":[["2025",5,12]]}}}],"schema":"https://github.com/citation-style-language/schema/raw/master/csl-citation.json"} </w:instrText>
      </w:r>
      <w:r w:rsidR="00F958DC">
        <w:fldChar w:fldCharType="separate"/>
      </w:r>
      <w:r w:rsidR="00B3251E" w:rsidRPr="00B3251E">
        <w:rPr>
          <w:vertAlign w:val="superscript"/>
        </w:rPr>
        <w:t>2</w:t>
      </w:r>
      <w:r w:rsidR="00F958DC">
        <w:fldChar w:fldCharType="end"/>
      </w:r>
      <w:r>
        <w:t xml:space="preserve"> Dissolved iridium species, transported either through the porous transport layer or through the membrane, are detected separately and in real time by coupling the setup to an ICP-MS. This approach revealed a strong preference for iridium transport through the membrane, accounting for up to 99.9% of the detected dissolved </w:t>
      </w:r>
      <w:proofErr w:type="gramStart"/>
      <w:r>
        <w:t>catalyst, and</w:t>
      </w:r>
      <w:proofErr w:type="gramEnd"/>
      <w:r>
        <w:t xml:space="preserve"> demonstrated that catalyst stability can decrease by approximately one order of magnitude at high current densities. These results underscore that catalyst degradation cannot be fully understood solely on the basis of measurements in aqueous half-cells, and that transport pathways within the catalyst-coated membrane play a crucial role.</w:t>
      </w:r>
      <w:r w:rsidR="00F958DC">
        <w:fldChar w:fldCharType="begin"/>
      </w:r>
      <w:r w:rsidR="00F958DC">
        <w:instrText xml:space="preserve"> ADDIN ZOTERO_ITEM CSL_CITATION {"citationID":"O3OBnSxR","properties":{"unsorted":false,"formattedCitation":"\\super 1,3\\nosupersub{}","plainCitation":"1,3","noteIndex":0},"citationItems":[{"id":879,"uris":["http://zotero.org/users/13124230/items/UVAQUHZT"],"itemData":{"id":879,"type":"article-journal","abstract":"Recently, attempts have been made to understand and quantify Ir dissolution in application-relevant single-cell electrolyzers. While obtaining crucial insights, these studies are hindered by intrinsic system complexity and the required labor-intensive microscopic analyses of cross sections of the used catalyst coated membranes. To expand the understanding of dissolution processes in realistic catalyst layers for the oxygen evolution reaction and to accelerate the discovery of dissolution-stable materials, we utilize herein a gas-diffusion type half-cell setup to observe and quantify Ir dissolution at application-relevant conditions. The operation of this setup allows the recording of multiple measurement points for a single electrode throughout an electrochemical protocol and, thus, the monitoring of changes in the dissolution of the Ir-containing catalyst layer over time. The results indicate (I) a temperature-dependent stabilization and activation of the catalyst during conditioning, (II) a beneficial effect on the Ir stability by the application of a protective voltage, and (III) a lower dissolution of Ir from catalyst layers containing rutile IrO2. Therefore, fast benchmarking in a gas-diffusion type setup can accelerate the development of improved dissolution-resistant catalyst layers and aid in developing dissolution-mitigating cell voltage management, which are crucial to achieving significant Ir-loading and cost reduction in proton exchange membrane water electrolysis.","container-title":"ACS Catalysis","DOI":"10.1021/acscatal.4c02159","issue":"15","journalAbbreviation":"ACS Catal.","page":"11819-11831","publisher":"American Chemical Society","source":"ACS Publications","title":"Quantification of Iridium Dissolution at Water Electrolysis Relevant Conditions Using a Gas Diffusion Electrode Half-Cell Setup","volume":"14","author":[{"family":"Geuß","given":"Moritz"},{"family":"Löttert","given":"Lukas"},{"family":"Böhm","given":"Thomas"},{"family":"Hutzler","given":"Andreas"},{"family":"Mayrhofer","given":"Karl J. J."},{"family":"Thiele","given":"Simon"},{"family":"Cherevko","given":"Serhiy"}],"issued":{"date-parts":[["2024",8,2]]}}},{"id":121,"uris":["http://zotero.org/users/13124230/items/5Y3FNGQT"],"itemData":{"id":121,"type":"article-journal","abstract":"Understanding catalyst dissolution pathways in proton exchange membrane water electrolyzers is paramount for developing mitigation strategies aiming toward higher durability and lower catalyst loadings. To this end, Ir dissolution has been extensively studied using aqueous model systems but not in real devices. Aiming to bridge this knowledge gap, we use a metal-free water electrolysis setup to determine the mass balance of the dissolved Ir in an electrolyzer when applying a protocol mimicking intermittent operation. We find that the main Ir sinks are the cathode catalyst layer and the membrane, while Ir dissolution into the water lines is significantly lower. Although reproducible estimation of Ir present in the membrane is challenging, quantification of Ir within the cathode is reliable and efficient. This new finding implies that tracking Ir present in the cathode can be used to estimate anode catalyst stability, thus accelerating catalyst development and operational parameters optimization.","container-title":"ACS Energy Letters","DOI":"10.1021/acsenergylett.3c00193","ISSN":"2380-8195, 2380-8195","issue":"6","journalAbbreviation":"ACS Energy Lett.","language":"en","page":"2682-2688","source":"DOI.org (Crossref)","title":"In Search of Lost Iridium: Quantification of Anode Catalyst Layer Dissolution in Proton Exchange Membrane Water Electrolyzers","title-short":"In Search of Lost Iridium","volume":"8","author":[{"family":"Milosevic","given":"Maja"},{"family":"Böhm","given":"Thomas"},{"family":"Körner","given":"Andreas"},{"family":"Bierling","given":"Markus"},{"family":"Winkelmann","given":"Leonard"},{"family":"Ehelebe","given":"Konrad"},{"family":"Hutzler","given":"Andreas"},{"family":"Suermann","given":"Michel"},{"family":"Thiele","given":"Simon"},{"family":"Cherevko","given":"Serhiy"}],"issued":{"date-parts":[["2023",6,9]]}}}],"schema":"https://github.com/citation-style-language/schema/raw/master/csl-citation.json"} </w:instrText>
      </w:r>
      <w:r w:rsidR="00F958DC">
        <w:fldChar w:fldCharType="separate"/>
      </w:r>
      <w:r w:rsidR="00B3251E" w:rsidRPr="00B3251E">
        <w:rPr>
          <w:vertAlign w:val="superscript"/>
        </w:rPr>
        <w:t>1,3</w:t>
      </w:r>
      <w:r w:rsidR="00F958DC">
        <w:fldChar w:fldCharType="end"/>
      </w:r>
    </w:p>
    <w:p w14:paraId="03CDDFFE" w14:textId="77777777" w:rsidR="00273FBF" w:rsidRDefault="00273FBF" w:rsidP="00273FBF">
      <w:pPr>
        <w:jc w:val="both"/>
      </w:pPr>
    </w:p>
    <w:p w14:paraId="213EBD83" w14:textId="74EF71DA" w:rsidR="00325004" w:rsidRDefault="00273FBF" w:rsidP="00E0716D">
      <w:pPr>
        <w:jc w:val="both"/>
      </w:pPr>
      <w:r>
        <w:t xml:space="preserve">In this </w:t>
      </w:r>
      <w:r w:rsidR="00B3251E">
        <w:t>contribution</w:t>
      </w:r>
      <w:r>
        <w:t>, I will present recent findings on the dynamics of iridium dissolution in PEMWE anode catalyst layers and discuss how dissolution depends on operating and fabrication conditions. In particular, catalyst layers produced by gradient coating</w:t>
      </w:r>
      <w:r w:rsidR="00B3251E">
        <w:fldChar w:fldCharType="begin"/>
      </w:r>
      <w:r w:rsidR="00B3251E">
        <w:instrText xml:space="preserve"> ADDIN ZOTERO_ITEM CSL_CITATION {"citationID":"ElY1tpC2","properties":{"unsorted":false,"formattedCitation":"\\super 4\\nosupersub{}","plainCitation":"4","noteIndex":0},"citationItems":[{"id":757,"uris":["http://zotero.org/users/13124230/items/WT2QPD7N"],"itemData":{"id":757,"type":"article-journal","abstract":"Proton exchange membrane water electrolyzers (PEMWEs) play a key role in the decarbonization of the energy sector. However, due to limited availability and the need to lower the overall costs of PEMWE stacks, reducing iridium loading at the anodic oxygen evolution reaction (OER) side is crucial for this technology to be a game changer in hydrogen production. When the anode is optimized for minimum catalyst loading, several parameters influencing its activity and stability must be considered, including pore size, support material, and the ionomer-to-catalyst (I/C) ratio. Currently, parameter optimization is performed by using several time- and resource-intensive single coating experiments and full cell testing. In this work, we present a high-throughput coating and testing platform for the PEMWE anode catalyst layers. It consists of a tabletop slot die coating setup for graded catalyst coating and a half-side catalyst-coated membrane (CCM) scanning flow cell (SFC) setup coupled with an inductively coupled plasma mass spectrometer (ICP-MS). We present an accelerated catalyst loading study where all samples are produced within a single coating by varying the volume flow into the slot die head. The wet film thickness is controlled inline by a laser profile sensor (LPS), and the loading is determined via X-ray fluorescence (XRF). Subsequently, catalyst OER activity and stability were analyzed using the half-CCM ICP-MS setup. The results show consistency in wet film thickness, loading, catalyst layer activity, and stability. This confirms that with the reported platform, optimization of the catalyst layer parameters can be accelerated to ultimately improve the efficiency and stability of catalyst layers in PEMWE or other energy conversion technologies.","container-title":"ACS Applied Energy Materials","DOI":"10.1021/acsaem.5c03344","issue":"5","journalAbbreviation":"ACS Appl. Energy Mater.","page":"4641-4650","publisher":"American Chemical Society","source":"ACS Publications","title":"Enabling High-Throughput Catalyst Layer Studies for PEM Water Electrolysis─From Fabrication to Electrochemical Testing","volume":"9","author":[{"family":"Pätzold","given":"George"},{"family":"Röttcher","given":"Nico C."},{"family":"Grüber","given":"Julian"},{"family":"Löttert","given":"Lukas"},{"family":"Thiele","given":"Simon"},{"family":"Dworschak","given":"Dominik"}],"issued":{"date-parts":[["2026",4,6]]}}}],"schema":"https://github.com/citation-style-language/schema/raw/master/csl-citation.json"} </w:instrText>
      </w:r>
      <w:r w:rsidR="00B3251E">
        <w:fldChar w:fldCharType="separate"/>
      </w:r>
      <w:r w:rsidR="00B3251E" w:rsidRPr="00B3251E">
        <w:rPr>
          <w:vertAlign w:val="superscript"/>
        </w:rPr>
        <w:t>4</w:t>
      </w:r>
      <w:r w:rsidR="00B3251E">
        <w:fldChar w:fldCharType="end"/>
      </w:r>
      <w:r>
        <w:t xml:space="preserve"> are used to access a wide range of catalyst loadings within a single fabrication experiment, thereby enabling the evaluation of activity and stability trends with reduced material requirements. </w:t>
      </w:r>
      <w:r w:rsidR="00B3251E" w:rsidRPr="00B3251E">
        <w:t>By combining scalable catalyst layer fabrication, in-line coating characterization, electrochemical testing, and operando dissolution analysis, this workflow enables rational optimization of durable, low-loading PEMWE anodes under realistic operating conditions.</w:t>
      </w:r>
      <w:r w:rsidR="00B3251E">
        <w:t xml:space="preserve"> </w:t>
      </w:r>
    </w:p>
    <w:p w14:paraId="5759E3A9" w14:textId="77777777" w:rsidR="00B3251E" w:rsidRDefault="00B3251E" w:rsidP="00E0716D">
      <w:pPr>
        <w:jc w:val="both"/>
      </w:pPr>
    </w:p>
    <w:p w14:paraId="67295881" w14:textId="5A3953BB" w:rsidR="00273FBF" w:rsidRDefault="00A16488" w:rsidP="00B3251E">
      <w:pPr>
        <w:jc w:val="center"/>
      </w:pPr>
      <w:r>
        <w:rPr>
          <w:noProof/>
        </w:rPr>
        <w:drawing>
          <wp:inline distT="0" distB="0" distL="0" distR="0" wp14:anchorId="5C1A0D1C" wp14:editId="71F10C75">
            <wp:extent cx="2204113" cy="2071200"/>
            <wp:effectExtent l="0" t="0" r="5715" b="5715"/>
            <wp:docPr id="85023989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17240" cy="2083536"/>
                    </a:xfrm>
                    <a:prstGeom prst="rect">
                      <a:avLst/>
                    </a:prstGeom>
                    <a:noFill/>
                    <a:ln>
                      <a:noFill/>
                    </a:ln>
                  </pic:spPr>
                </pic:pic>
              </a:graphicData>
            </a:graphic>
          </wp:inline>
        </w:drawing>
      </w:r>
    </w:p>
    <w:p w14:paraId="30C91629" w14:textId="77777777" w:rsidR="00B3251E" w:rsidRPr="00B3251E" w:rsidRDefault="00B3251E" w:rsidP="00B3251E">
      <w:pPr>
        <w:pStyle w:val="Literaturverzeichnis"/>
      </w:pPr>
      <w:r>
        <w:rPr>
          <w:lang w:val="en-GB"/>
        </w:rPr>
        <w:fldChar w:fldCharType="begin"/>
      </w:r>
      <w:r>
        <w:rPr>
          <w:lang w:val="en-GB"/>
        </w:rPr>
        <w:instrText xml:space="preserve"> ADDIN ZOTERO_BIBL {"uncited":[],"omitted":[],"custom":[]} CSL_BIBLIOGRAPHY </w:instrText>
      </w:r>
      <w:r>
        <w:rPr>
          <w:lang w:val="en-GB"/>
        </w:rPr>
        <w:fldChar w:fldCharType="separate"/>
      </w:r>
      <w:r w:rsidRPr="00B3251E">
        <w:rPr>
          <w:b/>
          <w:bCs/>
        </w:rPr>
        <w:t>1</w:t>
      </w:r>
      <w:r w:rsidRPr="00B3251E">
        <w:t xml:space="preserve"> Geuß, M. </w:t>
      </w:r>
      <w:r w:rsidRPr="00B3251E">
        <w:rPr>
          <w:i/>
          <w:iCs/>
        </w:rPr>
        <w:t>et al.</w:t>
      </w:r>
      <w:r w:rsidRPr="00B3251E">
        <w:t xml:space="preserve"> </w:t>
      </w:r>
      <w:r w:rsidRPr="00B3251E">
        <w:rPr>
          <w:i/>
          <w:iCs/>
        </w:rPr>
        <w:t xml:space="preserve">ACS </w:t>
      </w:r>
      <w:proofErr w:type="spellStart"/>
      <w:r w:rsidRPr="00B3251E">
        <w:rPr>
          <w:i/>
          <w:iCs/>
        </w:rPr>
        <w:t>Catal</w:t>
      </w:r>
      <w:proofErr w:type="spellEnd"/>
      <w:r w:rsidRPr="00B3251E">
        <w:rPr>
          <w:i/>
          <w:iCs/>
        </w:rPr>
        <w:t>.</w:t>
      </w:r>
      <w:r w:rsidRPr="00B3251E">
        <w:t xml:space="preserve"> 14, 11819–11831 (2024)</w:t>
      </w:r>
    </w:p>
    <w:p w14:paraId="2D63FE9C" w14:textId="77777777" w:rsidR="00B3251E" w:rsidRPr="00B3251E" w:rsidRDefault="00B3251E" w:rsidP="00B3251E">
      <w:pPr>
        <w:pStyle w:val="Literaturverzeichnis"/>
      </w:pPr>
      <w:r w:rsidRPr="00B3251E">
        <w:rPr>
          <w:b/>
          <w:bCs/>
        </w:rPr>
        <w:t>2</w:t>
      </w:r>
      <w:r w:rsidRPr="00B3251E">
        <w:t xml:space="preserve"> Röttcher, N. C. </w:t>
      </w:r>
      <w:r w:rsidRPr="00B3251E">
        <w:rPr>
          <w:i/>
          <w:iCs/>
        </w:rPr>
        <w:t>et al.</w:t>
      </w:r>
      <w:r w:rsidRPr="00B3251E">
        <w:t xml:space="preserve"> </w:t>
      </w:r>
      <w:proofErr w:type="spellStart"/>
      <w:r w:rsidRPr="00B3251E">
        <w:rPr>
          <w:i/>
          <w:iCs/>
        </w:rPr>
        <w:t>ChemElectroChem</w:t>
      </w:r>
      <w:proofErr w:type="spellEnd"/>
      <w:r w:rsidRPr="00B3251E">
        <w:t xml:space="preserve"> 12, 2500098 (2025)</w:t>
      </w:r>
    </w:p>
    <w:p w14:paraId="702B66BC" w14:textId="77777777" w:rsidR="00B3251E" w:rsidRPr="00B3251E" w:rsidRDefault="00B3251E" w:rsidP="00B3251E">
      <w:pPr>
        <w:pStyle w:val="Literaturverzeichnis"/>
      </w:pPr>
      <w:r w:rsidRPr="00B3251E">
        <w:rPr>
          <w:b/>
          <w:bCs/>
        </w:rPr>
        <w:t>3</w:t>
      </w:r>
      <w:r w:rsidRPr="00B3251E">
        <w:t xml:space="preserve"> Milosevic, M. </w:t>
      </w:r>
      <w:r w:rsidRPr="00B3251E">
        <w:rPr>
          <w:i/>
          <w:iCs/>
        </w:rPr>
        <w:t>et al.</w:t>
      </w:r>
      <w:r w:rsidRPr="00B3251E">
        <w:t xml:space="preserve"> </w:t>
      </w:r>
      <w:r w:rsidRPr="00B3251E">
        <w:rPr>
          <w:i/>
          <w:iCs/>
        </w:rPr>
        <w:t>ACS Energy Lett.</w:t>
      </w:r>
      <w:r w:rsidRPr="00B3251E">
        <w:t xml:space="preserve"> 8, 2682–2688 (2023)</w:t>
      </w:r>
    </w:p>
    <w:p w14:paraId="4C111FC0" w14:textId="77777777" w:rsidR="00B3251E" w:rsidRPr="00B3251E" w:rsidRDefault="00B3251E" w:rsidP="00B3251E">
      <w:pPr>
        <w:pStyle w:val="Literaturverzeichnis"/>
      </w:pPr>
      <w:r w:rsidRPr="00B3251E">
        <w:rPr>
          <w:b/>
          <w:bCs/>
        </w:rPr>
        <w:t>4</w:t>
      </w:r>
      <w:r w:rsidRPr="00B3251E">
        <w:t xml:space="preserve"> Pätzold, G. </w:t>
      </w:r>
      <w:r w:rsidRPr="00B3251E">
        <w:rPr>
          <w:i/>
          <w:iCs/>
        </w:rPr>
        <w:t>et al.</w:t>
      </w:r>
      <w:r w:rsidRPr="00B3251E">
        <w:t xml:space="preserve"> </w:t>
      </w:r>
      <w:r w:rsidRPr="00B3251E">
        <w:rPr>
          <w:i/>
          <w:iCs/>
        </w:rPr>
        <w:t>ACS Appl. Energy Mater.</w:t>
      </w:r>
      <w:r w:rsidRPr="00B3251E">
        <w:t xml:space="preserve"> 9, 4641–4650 (2026)</w:t>
      </w:r>
    </w:p>
    <w:p w14:paraId="7303944C" w14:textId="1490A15F" w:rsidR="00E0716D" w:rsidRPr="00B3251E" w:rsidRDefault="00B3251E" w:rsidP="00E0716D">
      <w:pPr>
        <w:jc w:val="both"/>
        <w:rPr>
          <w:lang w:val="en-GB"/>
        </w:rPr>
      </w:pPr>
      <w:r>
        <w:rPr>
          <w:lang w:val="en-GB"/>
        </w:rPr>
        <w:fldChar w:fldCharType="end"/>
      </w:r>
    </w:p>
    <w:sectPr w:rsidR="00E0716D" w:rsidRPr="00B3251E"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D1F10"/>
    <w:rsid w:val="002020FA"/>
    <w:rsid w:val="00273FBF"/>
    <w:rsid w:val="00325004"/>
    <w:rsid w:val="00536366"/>
    <w:rsid w:val="005E06F2"/>
    <w:rsid w:val="00641B1B"/>
    <w:rsid w:val="00685C1A"/>
    <w:rsid w:val="006A3C8E"/>
    <w:rsid w:val="00980D7D"/>
    <w:rsid w:val="00A16488"/>
    <w:rsid w:val="00AC0389"/>
    <w:rsid w:val="00B3251E"/>
    <w:rsid w:val="00BE46C7"/>
    <w:rsid w:val="00E0716D"/>
    <w:rsid w:val="00E100FD"/>
    <w:rsid w:val="00E8541B"/>
    <w:rsid w:val="00F61DEC"/>
    <w:rsid w:val="00F958DC"/>
    <w:rsid w:val="00F97641"/>
    <w:rsid w:val="00FD7B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8BBF72"/>
  <w14:defaultImageDpi w14:val="300"/>
  <w15:docId w15:val="{421A1B88-FCAB-44E9-BBA9-CC77F70F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716D"/>
    <w:pPr>
      <w:widowControl w:val="0"/>
    </w:pPr>
    <w:rPr>
      <w:snapToGrid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teraturverzeichnis">
    <w:name w:val="Bibliography"/>
    <w:basedOn w:val="Standard"/>
    <w:next w:val="Standard"/>
    <w:uiPriority w:val="37"/>
    <w:unhideWhenUsed/>
    <w:rsid w:val="00B32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2136</Words>
  <Characters>13461</Characters>
  <Application>Microsoft Office Word</Application>
  <DocSecurity>0</DocSecurity>
  <Lines>112</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15566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Dworschak, Dominik</cp:lastModifiedBy>
  <cp:revision>9</cp:revision>
  <cp:lastPrinted>2013-10-21T12:07:00Z</cp:lastPrinted>
  <dcterms:created xsi:type="dcterms:W3CDTF">2026-06-01T09:26:00Z</dcterms:created>
  <dcterms:modified xsi:type="dcterms:W3CDTF">2026-06-01T14:54:00Z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id="10rAlLdi"/&gt;&lt;style id="http://www.zotero.org/styles/minimal-grant-proposals" hasBibliography="1" bibliographyStyleHasBeenSet="1"/&gt;&lt;prefs&gt;&lt;pref name="fieldType" value="Field"/&gt;&lt;/prefs&gt;&lt;/data&gt;</vt:lpwstr>
  </property>
</Properties>
</file>