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180B6" w14:textId="5EA1A369" w:rsidR="00325004" w:rsidRPr="00F316CA" w:rsidRDefault="00F316CA" w:rsidP="00F316CA">
      <w:pPr>
        <w:jc w:val="center"/>
        <w:rPr>
          <w:b/>
          <w:sz w:val="28"/>
          <w:lang w:val="en-PL"/>
        </w:rPr>
      </w:pPr>
      <w:r w:rsidRPr="00F316CA">
        <w:rPr>
          <w:b/>
          <w:bCs/>
          <w:sz w:val="28"/>
          <w:lang w:val="en-PL"/>
        </w:rPr>
        <w:t>Watching Molecules Move: Revealing Diffusion and Retention Mechanisms in Eutectogels Using Electrochemistry and Multivariate Statistics</w:t>
      </w:r>
    </w:p>
    <w:p w14:paraId="55F3B2C3" w14:textId="77777777" w:rsidR="00325004" w:rsidRPr="00A86EB9" w:rsidRDefault="00325004" w:rsidP="00E0716D">
      <w:pPr>
        <w:jc w:val="center"/>
        <w:rPr>
          <w:b/>
          <w:sz w:val="28"/>
        </w:rPr>
      </w:pPr>
    </w:p>
    <w:p w14:paraId="011DCB38" w14:textId="5AC0AE2A" w:rsidR="00325004" w:rsidRPr="00F316CA" w:rsidRDefault="00F316CA" w:rsidP="00E0716D">
      <w:pPr>
        <w:jc w:val="center"/>
        <w:rPr>
          <w:lang w:val="pl-PL"/>
        </w:rPr>
      </w:pPr>
      <w:r w:rsidRPr="00F316CA">
        <w:rPr>
          <w:u w:val="single"/>
          <w:lang w:val="pl-PL"/>
        </w:rPr>
        <w:t>Tomasz Swebocki</w:t>
      </w:r>
      <w:r w:rsidR="00D82B64" w:rsidRPr="00D82B64">
        <w:rPr>
          <w:u w:val="single"/>
          <w:vertAlign w:val="superscript"/>
          <w:lang w:val="pl-PL"/>
        </w:rPr>
        <w:t>1</w:t>
      </w:r>
      <w:r w:rsidR="00325004" w:rsidRPr="00F316CA">
        <w:rPr>
          <w:lang w:val="pl-PL"/>
        </w:rPr>
        <w:t xml:space="preserve">, </w:t>
      </w:r>
      <w:r w:rsidRPr="00F316CA">
        <w:rPr>
          <w:lang w:val="pl-PL"/>
        </w:rPr>
        <w:t>Grzegorz Kowalski</w:t>
      </w:r>
      <w:r w:rsidR="00D82B64" w:rsidRPr="00D82B64">
        <w:rPr>
          <w:vertAlign w:val="superscript"/>
          <w:lang w:val="pl-PL"/>
        </w:rPr>
        <w:t>2</w:t>
      </w:r>
      <w:r w:rsidRPr="00F316CA">
        <w:rPr>
          <w:lang w:val="pl-PL"/>
        </w:rPr>
        <w:t>, Angelika Łepek</w:t>
      </w:r>
      <w:r w:rsidR="00D82B64" w:rsidRPr="00D82B64">
        <w:rPr>
          <w:vertAlign w:val="superscript"/>
          <w:lang w:val="pl-PL"/>
        </w:rPr>
        <w:t>1</w:t>
      </w:r>
      <w:r w:rsidRPr="00F316CA">
        <w:rPr>
          <w:lang w:val="pl-PL"/>
        </w:rPr>
        <w:t xml:space="preserve">, </w:t>
      </w:r>
      <w:r>
        <w:rPr>
          <w:lang w:val="pl-PL"/>
        </w:rPr>
        <w:t>Clémence Le Coeur</w:t>
      </w:r>
      <w:r w:rsidR="00D82B64" w:rsidRPr="00D82B64">
        <w:rPr>
          <w:vertAlign w:val="superscript"/>
          <w:lang w:val="pl-PL"/>
        </w:rPr>
        <w:t>3,4</w:t>
      </w:r>
      <w:r>
        <w:rPr>
          <w:lang w:val="pl-PL"/>
        </w:rPr>
        <w:t>, Karolina Kwaczyński</w:t>
      </w:r>
      <w:r w:rsidR="00D82B64" w:rsidRPr="00D82B64">
        <w:rPr>
          <w:vertAlign w:val="superscript"/>
          <w:lang w:val="pl-PL"/>
        </w:rPr>
        <w:t>2</w:t>
      </w:r>
      <w:r>
        <w:rPr>
          <w:lang w:val="pl-PL"/>
        </w:rPr>
        <w:t>, Łukasz Półtorak</w:t>
      </w:r>
      <w:r w:rsidR="00D82B64" w:rsidRPr="00D82B64">
        <w:rPr>
          <w:vertAlign w:val="superscript"/>
          <w:lang w:val="pl-PL"/>
        </w:rPr>
        <w:t>2</w:t>
      </w:r>
      <w:r>
        <w:rPr>
          <w:lang w:val="pl-PL"/>
        </w:rPr>
        <w:t>, Jacek Ryl</w:t>
      </w:r>
      <w:r w:rsidR="00D82B64" w:rsidRPr="00D82B64">
        <w:rPr>
          <w:vertAlign w:val="superscript"/>
          <w:lang w:val="pl-PL"/>
        </w:rPr>
        <w:t>1</w:t>
      </w:r>
    </w:p>
    <w:p w14:paraId="6F09D7CA" w14:textId="499207D8" w:rsidR="00325004" w:rsidRPr="00A86EB9" w:rsidRDefault="00F316CA" w:rsidP="00E0716D">
      <w:pPr>
        <w:jc w:val="center"/>
        <w:rPr>
          <w:i/>
        </w:rPr>
      </w:pPr>
      <w:r w:rsidRPr="00F316CA">
        <w:rPr>
          <w:i/>
        </w:rPr>
        <w:t>Gdańsk University Of Technology, Faculty of Applied Physics and Mathematics</w:t>
      </w:r>
      <w:r>
        <w:rPr>
          <w:i/>
        </w:rPr>
        <w:t>, Institute of Nanotechnology and Materials Engineering</w:t>
      </w:r>
    </w:p>
    <w:p w14:paraId="67A86647" w14:textId="5AE808AB" w:rsidR="00325004" w:rsidRPr="00F316CA" w:rsidRDefault="00F316CA" w:rsidP="00E0716D">
      <w:pPr>
        <w:jc w:val="center"/>
        <w:rPr>
          <w:lang w:val="pl-PL"/>
        </w:rPr>
      </w:pPr>
      <w:r w:rsidRPr="00F316CA">
        <w:rPr>
          <w:i/>
          <w:lang w:val="pl-PL"/>
        </w:rPr>
        <w:t>11/12 G. Narutowicza St.</w:t>
      </w:r>
      <w:r>
        <w:rPr>
          <w:i/>
          <w:lang w:val="pl-PL"/>
        </w:rPr>
        <w:t xml:space="preserve">, </w:t>
      </w:r>
      <w:r w:rsidRPr="00F316CA">
        <w:rPr>
          <w:i/>
          <w:lang w:val="pl-PL"/>
        </w:rPr>
        <w:t>80-233 Gdańsk, Poland</w:t>
      </w:r>
    </w:p>
    <w:p w14:paraId="4268ADCD" w14:textId="027798B2" w:rsidR="00685C1A" w:rsidRPr="00F316CA" w:rsidRDefault="00F316CA" w:rsidP="00E0716D">
      <w:pPr>
        <w:jc w:val="center"/>
        <w:rPr>
          <w:i/>
        </w:rPr>
      </w:pPr>
      <w:r w:rsidRPr="00F316CA">
        <w:rPr>
          <w:i/>
        </w:rPr>
        <w:t>tomasz.swebocki@pg.edu.pl</w:t>
      </w:r>
    </w:p>
    <w:p w14:paraId="44E05C8D" w14:textId="77777777" w:rsidR="00325004" w:rsidRPr="00F316CA" w:rsidRDefault="00325004" w:rsidP="00E0716D">
      <w:pPr>
        <w:jc w:val="center"/>
      </w:pPr>
    </w:p>
    <w:p w14:paraId="2197459A" w14:textId="77777777" w:rsidR="00170F92" w:rsidRPr="00170F92" w:rsidRDefault="00170F92" w:rsidP="00170F92">
      <w:pPr>
        <w:jc w:val="both"/>
        <w:rPr>
          <w:lang w:val="en-PL"/>
        </w:rPr>
      </w:pPr>
      <w:r w:rsidRPr="00170F92">
        <w:rPr>
          <w:lang w:val="en-PL"/>
        </w:rPr>
        <w:t>Eutectogels are emerging as promising soft materials for biomedical applications, including drug delivery and antimicrobial therapies. Despite growing interest in these materials, the mechanisms governing molecular transport and retention within eutectogels remain poorly understood.</w:t>
      </w:r>
    </w:p>
    <w:p w14:paraId="4355FBDD" w14:textId="77777777" w:rsidR="00170F92" w:rsidRPr="00170F92" w:rsidRDefault="00170F92" w:rsidP="00170F92">
      <w:pPr>
        <w:jc w:val="both"/>
        <w:rPr>
          <w:lang w:val="en-PL"/>
        </w:rPr>
      </w:pPr>
    </w:p>
    <w:p w14:paraId="54AC1BBC" w14:textId="77777777" w:rsidR="00170F92" w:rsidRPr="00170F92" w:rsidRDefault="00170F92" w:rsidP="00170F92">
      <w:pPr>
        <w:jc w:val="both"/>
        <w:rPr>
          <w:lang w:val="en-PL"/>
        </w:rPr>
      </w:pPr>
      <w:r w:rsidRPr="00170F92">
        <w:rPr>
          <w:lang w:val="en-PL"/>
        </w:rPr>
        <w:t>To address this challenge, molecular permeation through gelatin-based eutectogels containing glyceline and reline was monitored using time-resolved electrochemical measurements. Transport parameters, including diffusion coefficients, uptake rates, lag times, and diffusion efficiencies, were extracted from cyclic voltammetric data and correlated with structural characteristics obtained from microscopy and scattering techniques.</w:t>
      </w:r>
    </w:p>
    <w:p w14:paraId="69B0DBF4" w14:textId="77777777" w:rsidR="00170F92" w:rsidRPr="00170F92" w:rsidRDefault="00170F92" w:rsidP="00170F92">
      <w:pPr>
        <w:jc w:val="both"/>
        <w:rPr>
          <w:lang w:val="en-PL"/>
        </w:rPr>
      </w:pPr>
    </w:p>
    <w:p w14:paraId="756C3672" w14:textId="58882AC0" w:rsidR="00F316CA" w:rsidRPr="00F316CA" w:rsidRDefault="00170F92" w:rsidP="00F316CA">
      <w:pPr>
        <w:jc w:val="both"/>
        <w:rPr>
          <w:lang w:val="en-PL"/>
        </w:rPr>
      </w:pPr>
      <w:r w:rsidRPr="00170F92">
        <w:rPr>
          <w:lang w:val="en-PL"/>
        </w:rPr>
        <w:t>The results revealed that the choice of DES strongly influences transport behavior. Glyceline-based eutectogels exhibited sponge-like characteristics, promoting analyte retention, whereas reline-containing systems behaved as diffusion barriers that delayed transport while maintaining effective permeation. These</w:t>
      </w:r>
      <w:r>
        <w:rPr>
          <w:lang w:val="en-PL"/>
        </w:rPr>
        <w:t> </w:t>
      </w:r>
      <w:r w:rsidRPr="00170F92">
        <w:rPr>
          <w:lang w:val="en-PL"/>
        </w:rPr>
        <w:t>findings demonstrate how electrochemical monitoring can provide mechanistic insight into mass transport in eutectogels and contribute to the rational design of next-generation soft materials for biomedical applications. After all, when does a hydrogel behave as a sponge, and when does it become a barrier?</w:t>
      </w:r>
    </w:p>
    <w:p w14:paraId="3FED972D" w14:textId="77777777" w:rsidR="00D82B64" w:rsidRDefault="00D82B64" w:rsidP="00E0716D">
      <w:pPr>
        <w:jc w:val="both"/>
        <w:rPr>
          <w:lang w:val="en-PL"/>
        </w:rPr>
      </w:pPr>
    </w:p>
    <w:tbl>
      <w:tblPr>
        <w:tblStyle w:val="TableGrid"/>
        <w:tblW w:w="0" w:type="auto"/>
        <w:jc w:val="center"/>
        <w:tblCellMar>
          <w:top w:w="57" w:type="dxa"/>
          <w:left w:w="57" w:type="dxa"/>
          <w:bottom w:w="57" w:type="dxa"/>
          <w:right w:w="57" w:type="dxa"/>
        </w:tblCellMar>
        <w:tblLook w:val="04A0" w:firstRow="1" w:lastRow="0" w:firstColumn="1" w:lastColumn="0" w:noHBand="0" w:noVBand="1"/>
      </w:tblPr>
      <w:tblGrid>
        <w:gridCol w:w="8495"/>
      </w:tblGrid>
      <w:tr w:rsidR="00016ECE" w14:paraId="01350ECB" w14:textId="77777777" w:rsidTr="00016ECE">
        <w:trPr>
          <w:jc w:val="center"/>
        </w:trPr>
        <w:tc>
          <w:tcPr>
            <w:tcW w:w="8493" w:type="dxa"/>
            <w:vAlign w:val="center"/>
          </w:tcPr>
          <w:p w14:paraId="0E918F59" w14:textId="0982B067" w:rsidR="00016ECE" w:rsidRDefault="00016ECE" w:rsidP="00D82B64">
            <w:pPr>
              <w:jc w:val="center"/>
              <w:rPr>
                <w:noProof/>
                <w:snapToGrid/>
                <w:lang w:val="en-PL"/>
              </w:rPr>
            </w:pPr>
            <w:r>
              <w:rPr>
                <w:noProof/>
                <w:snapToGrid/>
                <w:lang w:val="en-PL"/>
              </w:rPr>
              <w:drawing>
                <wp:inline distT="0" distB="0" distL="0" distR="0" wp14:anchorId="75B62639" wp14:editId="6C57CF2F">
                  <wp:extent cx="5324652" cy="1400783"/>
                  <wp:effectExtent l="0" t="0" r="0" b="0"/>
                  <wp:docPr id="15621999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99918" name="Picture 1562199918"/>
                          <pic:cNvPicPr/>
                        </pic:nvPicPr>
                        <pic:blipFill rotWithShape="1">
                          <a:blip r:embed="rId4"/>
                          <a:srcRect t="42260"/>
                          <a:stretch>
                            <a:fillRect/>
                          </a:stretch>
                        </pic:blipFill>
                        <pic:spPr bwMode="auto">
                          <a:xfrm>
                            <a:off x="0" y="0"/>
                            <a:ext cx="5448861" cy="1433459"/>
                          </a:xfrm>
                          <a:prstGeom prst="rect">
                            <a:avLst/>
                          </a:prstGeom>
                          <a:ln>
                            <a:noFill/>
                          </a:ln>
                          <a:extLst>
                            <a:ext uri="{53640926-AAD7-44D8-BBD7-CCE9431645EC}">
                              <a14:shadowObscured xmlns:a14="http://schemas.microsoft.com/office/drawing/2010/main"/>
                            </a:ext>
                          </a:extLst>
                        </pic:spPr>
                      </pic:pic>
                    </a:graphicData>
                  </a:graphic>
                </wp:inline>
              </w:drawing>
            </w:r>
          </w:p>
        </w:tc>
      </w:tr>
      <w:tr w:rsidR="00D82B64" w14:paraId="75E92449" w14:textId="77777777" w:rsidTr="00016ECE">
        <w:trPr>
          <w:jc w:val="center"/>
        </w:trPr>
        <w:tc>
          <w:tcPr>
            <w:tcW w:w="0" w:type="auto"/>
            <w:vAlign w:val="center"/>
          </w:tcPr>
          <w:p w14:paraId="1B10FDE6" w14:textId="21EDBA56" w:rsidR="00D82B64" w:rsidRDefault="00D82B64" w:rsidP="00D82B64">
            <w:pPr>
              <w:jc w:val="center"/>
              <w:rPr>
                <w:lang w:val="en-PL"/>
              </w:rPr>
            </w:pPr>
            <w:r>
              <w:rPr>
                <w:noProof/>
                <w:snapToGrid/>
                <w:lang w:val="en-PL"/>
              </w:rPr>
              <w:drawing>
                <wp:inline distT="0" distB="0" distL="0" distR="0" wp14:anchorId="20EF118F" wp14:editId="10C6962B">
                  <wp:extent cx="1796969" cy="1481775"/>
                  <wp:effectExtent l="0" t="0" r="0" b="4445"/>
                  <wp:docPr id="152186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62633" name="Picture 1521862633"/>
                          <pic:cNvPicPr/>
                        </pic:nvPicPr>
                        <pic:blipFill rotWithShape="1">
                          <a:blip r:embed="rId5"/>
                          <a:srcRect l="1230" t="4199" r="40452" b="4852"/>
                          <a:stretch>
                            <a:fillRect/>
                          </a:stretch>
                        </pic:blipFill>
                        <pic:spPr bwMode="auto">
                          <a:xfrm>
                            <a:off x="0" y="0"/>
                            <a:ext cx="1797579" cy="1482278"/>
                          </a:xfrm>
                          <a:prstGeom prst="rect">
                            <a:avLst/>
                          </a:prstGeom>
                          <a:ln>
                            <a:noFill/>
                          </a:ln>
                          <a:extLst>
                            <a:ext uri="{53640926-AAD7-44D8-BBD7-CCE9431645EC}">
                              <a14:shadowObscured xmlns:a14="http://schemas.microsoft.com/office/drawing/2010/main"/>
                            </a:ext>
                          </a:extLst>
                        </pic:spPr>
                      </pic:pic>
                    </a:graphicData>
                  </a:graphic>
                </wp:inline>
              </w:drawing>
            </w:r>
            <w:r>
              <w:rPr>
                <w:noProof/>
                <w:snapToGrid/>
                <w:lang w:val="en-PL"/>
              </w:rPr>
              <w:drawing>
                <wp:inline distT="0" distB="0" distL="0" distR="0" wp14:anchorId="094B7E81" wp14:editId="38A8A8C2">
                  <wp:extent cx="1710000" cy="1419251"/>
                  <wp:effectExtent l="0" t="0" r="5080" b="3175"/>
                  <wp:docPr id="1184013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13778" name="Picture 1184013778"/>
                          <pic:cNvPicPr/>
                        </pic:nvPicPr>
                        <pic:blipFill>
                          <a:blip r:embed="rId6"/>
                          <a:stretch>
                            <a:fillRect/>
                          </a:stretch>
                        </pic:blipFill>
                        <pic:spPr>
                          <a:xfrm>
                            <a:off x="0" y="0"/>
                            <a:ext cx="1710000" cy="1419251"/>
                          </a:xfrm>
                          <a:prstGeom prst="rect">
                            <a:avLst/>
                          </a:prstGeom>
                        </pic:spPr>
                      </pic:pic>
                    </a:graphicData>
                  </a:graphic>
                </wp:inline>
              </w:drawing>
            </w:r>
            <w:r>
              <w:rPr>
                <w:noProof/>
                <w:snapToGrid/>
                <w:lang w:val="en-PL"/>
              </w:rPr>
              <w:drawing>
                <wp:inline distT="0" distB="0" distL="0" distR="0" wp14:anchorId="1AFA0418" wp14:editId="7EE80295">
                  <wp:extent cx="1710000" cy="1414287"/>
                  <wp:effectExtent l="0" t="0" r="5080" b="0"/>
                  <wp:docPr id="1527746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74669" name="Picture 152774669"/>
                          <pic:cNvPicPr/>
                        </pic:nvPicPr>
                        <pic:blipFill>
                          <a:blip r:embed="rId7"/>
                          <a:stretch>
                            <a:fillRect/>
                          </a:stretch>
                        </pic:blipFill>
                        <pic:spPr>
                          <a:xfrm>
                            <a:off x="0" y="0"/>
                            <a:ext cx="1710000" cy="1414287"/>
                          </a:xfrm>
                          <a:prstGeom prst="rect">
                            <a:avLst/>
                          </a:prstGeom>
                        </pic:spPr>
                      </pic:pic>
                    </a:graphicData>
                  </a:graphic>
                </wp:inline>
              </w:drawing>
            </w:r>
          </w:p>
        </w:tc>
      </w:tr>
    </w:tbl>
    <w:p w14:paraId="7D0FE5EE" w14:textId="348DAA1D" w:rsidR="00D82B64" w:rsidRDefault="00D82B64" w:rsidP="00D82B64">
      <w:pPr>
        <w:jc w:val="both"/>
      </w:pPr>
      <w:r w:rsidRPr="001D0BE1">
        <w:t>Figure</w:t>
      </w:r>
      <w:r>
        <w:t>:</w:t>
      </w:r>
      <w:r w:rsidRPr="001D0BE1">
        <w:t xml:space="preserve"> </w:t>
      </w:r>
      <w:r w:rsidR="00016ECE">
        <w:t xml:space="preserve">(top): Set of reline-based eutectogels; </w:t>
      </w:r>
      <w:r>
        <w:t>(</w:t>
      </w:r>
      <w:r w:rsidR="00016ECE">
        <w:t xml:space="preserve">bottom </w:t>
      </w:r>
      <w:r>
        <w:t>left) A 3D project of the “flow-through” cell used in the studies of permeation;</w:t>
      </w:r>
      <w:r w:rsidRPr="001D0BE1">
        <w:t xml:space="preserve"> (</w:t>
      </w:r>
      <w:r w:rsidR="00016ECE">
        <w:t xml:space="preserve">bottom </w:t>
      </w:r>
      <w:r>
        <w:t>middle</w:t>
      </w:r>
      <w:r w:rsidRPr="001D0BE1">
        <w:t xml:space="preserve">) </w:t>
      </w:r>
      <w:r>
        <w:t>a correlation matrix used to discriminate different transport patterns; (</w:t>
      </w:r>
      <w:r w:rsidR="00016ECE">
        <w:t xml:space="preserve">bottom </w:t>
      </w:r>
      <w:r>
        <w:t>right) a time-resolved cyclic voltammetry of the redox probe permeation through the gel[1].</w:t>
      </w:r>
    </w:p>
    <w:p w14:paraId="25B50A10" w14:textId="77777777" w:rsidR="00016ECE" w:rsidRDefault="00016ECE" w:rsidP="00D82B64">
      <w:pPr>
        <w:jc w:val="both"/>
      </w:pPr>
    </w:p>
    <w:p w14:paraId="6CA8DDE1" w14:textId="77777777" w:rsidR="00D82B64" w:rsidRPr="0034146E" w:rsidRDefault="00D82B64" w:rsidP="00D82B64">
      <w:pPr>
        <w:jc w:val="both"/>
      </w:pPr>
      <w:r w:rsidRPr="0034146E">
        <w:t>References</w:t>
      </w:r>
    </w:p>
    <w:p w14:paraId="7EFA8AB9" w14:textId="16CF94D7" w:rsidR="00D82B64" w:rsidRPr="00D82B64" w:rsidRDefault="00D82B64" w:rsidP="00D82B64">
      <w:pPr>
        <w:jc w:val="both"/>
      </w:pPr>
      <w:r w:rsidRPr="00D82B64">
        <w:t xml:space="preserve">1. </w:t>
      </w:r>
      <w:r w:rsidRPr="00D82B64">
        <w:t xml:space="preserve">T. Swebocki et al., Advanced </w:t>
      </w:r>
      <w:r w:rsidR="00170F92" w:rsidRPr="00D82B64">
        <w:t>Funct</w:t>
      </w:r>
      <w:r w:rsidR="00170F92">
        <w:t>ional</w:t>
      </w:r>
      <w:r>
        <w:t xml:space="preserve"> Materials (2026) 36(41)</w:t>
      </w:r>
    </w:p>
    <w:sectPr w:rsidR="00D82B64" w:rsidRPr="00D82B6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16ECE"/>
    <w:rsid w:val="00041EFD"/>
    <w:rsid w:val="00170F92"/>
    <w:rsid w:val="00325004"/>
    <w:rsid w:val="00536366"/>
    <w:rsid w:val="00685C1A"/>
    <w:rsid w:val="006B6D42"/>
    <w:rsid w:val="00D82B64"/>
    <w:rsid w:val="00E0716D"/>
    <w:rsid w:val="00F316CA"/>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04CDF6"/>
  <w14:defaultImageDpi w14:val="300"/>
  <w15:docId w15:val="{6EF1C76A-4142-8743-AC6B-C89D9B2A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2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341</Words>
  <Characters>1880</Characters>
  <Application>Microsoft Office Word</Application>
  <DocSecurity>0</DocSecurity>
  <Lines>72</Lines>
  <Paragraphs>45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Tomasz Swebocki</cp:lastModifiedBy>
  <cp:revision>3</cp:revision>
  <cp:lastPrinted>2013-10-21T12:07:00Z</cp:lastPrinted>
  <dcterms:created xsi:type="dcterms:W3CDTF">2026-05-30T10:57:00Z</dcterms:created>
  <dcterms:modified xsi:type="dcterms:W3CDTF">2026-05-30T11:01:00Z</dcterms:modified>
</cp:coreProperties>
</file>