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74235" w14:textId="77777777" w:rsidR="00187301" w:rsidRDefault="00E47EF7" w:rsidP="0080193A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47EF7">
        <w:rPr>
          <w:rFonts w:ascii="Times New Roman" w:hAnsi="Times New Roman" w:cs="Times New Roman"/>
          <w:b/>
          <w:bCs/>
          <w:sz w:val="28"/>
          <w:szCs w:val="28"/>
          <w:lang w:val="en-GB"/>
        </w:rPr>
        <w:t>Controlling the MAX-to-</w:t>
      </w:r>
      <w:proofErr w:type="spellStart"/>
      <w:r w:rsidRPr="00E47EF7">
        <w:rPr>
          <w:rFonts w:ascii="Times New Roman" w:hAnsi="Times New Roman" w:cs="Times New Roman"/>
          <w:b/>
          <w:bCs/>
          <w:sz w:val="28"/>
          <w:szCs w:val="28"/>
          <w:lang w:val="en-GB"/>
        </w:rPr>
        <w:t>MXene</w:t>
      </w:r>
      <w:proofErr w:type="spellEnd"/>
      <w:r w:rsidRPr="00E47EF7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Transition:</w:t>
      </w:r>
    </w:p>
    <w:p w14:paraId="5134A774" w14:textId="5FF666EB" w:rsidR="00E47EF7" w:rsidRDefault="00E47EF7" w:rsidP="0080193A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47EF7">
        <w:rPr>
          <w:rFonts w:ascii="Times New Roman" w:hAnsi="Times New Roman" w:cs="Times New Roman"/>
          <w:b/>
          <w:bCs/>
          <w:sz w:val="28"/>
          <w:szCs w:val="28"/>
          <w:lang w:val="en-GB"/>
        </w:rPr>
        <w:t>The Role of Electrochemical Etching</w:t>
      </w:r>
    </w:p>
    <w:p w14:paraId="228EA15D" w14:textId="3BDE10BB" w:rsidR="00F4323F" w:rsidRPr="00E47EF7" w:rsidRDefault="00F4323F" w:rsidP="0080193A">
      <w:pPr>
        <w:shd w:val="clear" w:color="auto" w:fill="FFFFFF"/>
        <w:jc w:val="center"/>
        <w:rPr>
          <w:rStyle w:val="normaltextrun"/>
          <w:rFonts w:ascii="Times New Roman" w:eastAsia="Times New Roman" w:hAnsi="Times New Roman" w:cs="Times New Roman"/>
          <w:color w:val="333333"/>
          <w:kern w:val="0"/>
          <w:sz w:val="20"/>
          <w:szCs w:val="20"/>
          <w:lang w:val="en-GB" w:eastAsia="pl-PL"/>
          <w14:ligatures w14:val="none"/>
        </w:rPr>
      </w:pPr>
      <w:r w:rsidRPr="00E47EF7">
        <w:rPr>
          <w:rStyle w:val="normaltextrun"/>
          <w:rFonts w:ascii="Times New Roman" w:hAnsi="Times New Roman" w:cs="Times New Roman"/>
          <w:color w:val="000000"/>
          <w:sz w:val="20"/>
          <w:szCs w:val="20"/>
          <w:lang w:val="en-GB"/>
        </w:rPr>
        <w:t>Katarzyna Siuzdak</w:t>
      </w:r>
    </w:p>
    <w:p w14:paraId="54D14307" w14:textId="6331AAD9" w:rsidR="00F4323F" w:rsidRPr="0080193A" w:rsidRDefault="00F4323F" w:rsidP="0080193A">
      <w:pPr>
        <w:spacing w:after="0" w:line="240" w:lineRule="auto"/>
        <w:jc w:val="center"/>
        <w:rPr>
          <w:rStyle w:val="eop"/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</w:pPr>
      <w:r w:rsidRPr="0080193A">
        <w:rPr>
          <w:rStyle w:val="normaltextrun"/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  <w:lang w:val="en-US"/>
        </w:rPr>
        <w:t>1</w:t>
      </w:r>
      <w:r w:rsidRPr="0080193A">
        <w:rPr>
          <w:rStyle w:val="normaltextrun"/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Centre for Plasma and Laser Engineering, Institute of Fluid-Flow Machinery, Polish Academy of Sciences, </w:t>
      </w:r>
      <w:proofErr w:type="spellStart"/>
      <w:r w:rsidRPr="0080193A">
        <w:rPr>
          <w:rStyle w:val="spellingerror"/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Fiszera</w:t>
      </w:r>
      <w:proofErr w:type="spellEnd"/>
      <w:r w:rsidRPr="0080193A">
        <w:rPr>
          <w:rStyle w:val="normaltextrun"/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14 Street, 80-231 </w:t>
      </w:r>
      <w:r w:rsidRPr="0080193A">
        <w:rPr>
          <w:rStyle w:val="spellingerror"/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Gdańsk</w:t>
      </w:r>
      <w:r w:rsidRPr="0080193A">
        <w:rPr>
          <w:rStyle w:val="normaltextrun"/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, Poland</w:t>
      </w:r>
    </w:p>
    <w:p w14:paraId="1FC0E11C" w14:textId="77777777" w:rsidR="00944DC9" w:rsidRPr="00944DC9" w:rsidRDefault="00944DC9" w:rsidP="00944D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en-GB"/>
        </w:rPr>
      </w:pPr>
    </w:p>
    <w:p w14:paraId="55191D19" w14:textId="0EC2E3E3" w:rsidR="0080193A" w:rsidRPr="0080193A" w:rsidRDefault="00E47EF7" w:rsidP="008019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en-GB"/>
        </w:rPr>
        <w:t>ksiuzdak</w:t>
      </w:r>
      <w:r w:rsidR="0080193A" w:rsidRPr="0080193A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en-GB"/>
        </w:rPr>
        <w:t>@imp.gda.pl</w:t>
      </w:r>
    </w:p>
    <w:p w14:paraId="57114A52" w14:textId="77777777" w:rsidR="003C7AE0" w:rsidRPr="0080193A" w:rsidRDefault="003C7AE0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9C9103F" w14:textId="77777777" w:rsidR="00187301" w:rsidRPr="00187301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Electrochemical etching of MAX phases is increasingly considered a promising and safer alternative to conventional </w:t>
      </w:r>
      <w:proofErr w:type="spellStart"/>
      <w:r w:rsidRPr="00187301">
        <w:rPr>
          <w:rFonts w:ascii="Times New Roman" w:hAnsi="Times New Roman" w:cs="Times New Roman"/>
          <w:sz w:val="20"/>
          <w:szCs w:val="20"/>
          <w:lang w:val="en-GB"/>
        </w:rPr>
        <w:t>MXene</w:t>
      </w:r>
      <w:proofErr w:type="spellEnd"/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 synthesis routes relying on concentrated HF, yet recent studies clearly indicate that this approach still requires substantial optimization to deliver materials with well-controlled and reproducible structures. Reported protocols often struggle with incomplete removal of the A layer, the concurrent formation of carbide-derived carbon, and a narrow processing window between selective etching and destructive oxidation of the Mₙ₊₁Xₙ backbone. </w:t>
      </w:r>
    </w:p>
    <w:p w14:paraId="6181437C" w14:textId="77777777" w:rsidR="00187301" w:rsidRPr="00187301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In our setup, a glassy carbon crucible acts as the working electrode, a glassy carbon rod serves as the counter electrode, and an Ag/AgCl/0.1 M </w:t>
      </w:r>
      <w:proofErr w:type="spellStart"/>
      <w:r w:rsidRPr="00187301">
        <w:rPr>
          <w:rFonts w:ascii="Times New Roman" w:hAnsi="Times New Roman" w:cs="Times New Roman"/>
          <w:sz w:val="20"/>
          <w:szCs w:val="20"/>
          <w:lang w:val="en-GB"/>
        </w:rPr>
        <w:t>KCl</w:t>
      </w:r>
      <w:proofErr w:type="spellEnd"/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 electrode is used as the reference. The MAX phase is electrochemically etched in an aqueous electrolyte containing tetramethylammonium tetrafluoroborate dissolved in sulfuric or phosphoric acid, which provides a fluorine-containing anion without the use of bulk HF solutions and allows tuning of the proton activity and ionic strength. The process is performed for 48 h at a constant potential of 2 V versus Ag/AgCl, enabling a gradual weakening and removal of the A-layer while maintaining a well-defined electrochemical driving force. This controlled potential regime is intended to minimize uncontrolled corrosion and over-oxidation that frequently accompany purely galvanostatic or two-electrode configurations.</w:t>
      </w:r>
    </w:p>
    <w:p w14:paraId="3706DCE4" w14:textId="77777777" w:rsidR="00187301" w:rsidRPr="00187301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Scanning electron microscopy reveals the formation of layered, accordion-like morphologies characteristic of </w:t>
      </w:r>
      <w:proofErr w:type="spellStart"/>
      <w:r w:rsidRPr="00187301">
        <w:rPr>
          <w:rFonts w:ascii="Times New Roman" w:hAnsi="Times New Roman" w:cs="Times New Roman"/>
          <w:sz w:val="20"/>
          <w:szCs w:val="20"/>
          <w:lang w:val="en-GB"/>
        </w:rPr>
        <w:t>MXenes</w:t>
      </w:r>
      <w:proofErr w:type="spellEnd"/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, with expanded interparticle gaps indicative of successful interlayer opening. Raman spectra exhibit bands typical of </w:t>
      </w:r>
      <w:proofErr w:type="spellStart"/>
      <w:r w:rsidRPr="00187301">
        <w:rPr>
          <w:rFonts w:ascii="Times New Roman" w:hAnsi="Times New Roman" w:cs="Times New Roman"/>
          <w:sz w:val="20"/>
          <w:szCs w:val="20"/>
          <w:lang w:val="en-GB"/>
        </w:rPr>
        <w:t>MXene</w:t>
      </w:r>
      <w:proofErr w:type="spellEnd"/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 phases, confirming preservation of the Mₙ₊₁Xₙ framework and substantial removal of the A element from the parent MAX phase. At the same time, the extended etching time and relatively high anodic potential promote defect generation and local over-oxidation, which we highlight as an intrinsic limitation of the current protocol and a key target for further optimization.</w:t>
      </w:r>
    </w:p>
    <w:p w14:paraId="1E2D36BD" w14:textId="1D54DF70" w:rsidR="00F4323F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By juxtaposing our results with the existing electrochemical etching literature, we discuss the main advantages (HF-free operation, potential tunability, access to diverse surface terminations) and drawbacks (possible defect-rich products, competing side reactions, sensitivity to electrolyte composition) of this route toward “greener” </w:t>
      </w:r>
      <w:proofErr w:type="spellStart"/>
      <w:r w:rsidRPr="00187301">
        <w:rPr>
          <w:rFonts w:ascii="Times New Roman" w:hAnsi="Times New Roman" w:cs="Times New Roman"/>
          <w:sz w:val="20"/>
          <w:szCs w:val="20"/>
          <w:lang w:val="en-GB"/>
        </w:rPr>
        <w:t>MXene</w:t>
      </w:r>
      <w:proofErr w:type="spellEnd"/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 synthesis. We argue that a carefully designed three-electrode configuration with a glassy-carbon working vessel provides a convenient platform to systematically map the etching window in terms of potential, time, and electrolyte chemistry, and thus to rationally tailor electrochemical protocols that can realistically compete with HF-based methods in terms of safety, scalability, and </w:t>
      </w:r>
      <w:proofErr w:type="spellStart"/>
      <w:r w:rsidRPr="00187301">
        <w:rPr>
          <w:rFonts w:ascii="Times New Roman" w:hAnsi="Times New Roman" w:cs="Times New Roman"/>
          <w:sz w:val="20"/>
          <w:szCs w:val="20"/>
          <w:lang w:val="en-GB"/>
        </w:rPr>
        <w:t>MXene</w:t>
      </w:r>
      <w:proofErr w:type="spellEnd"/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 quality.</w:t>
      </w:r>
    </w:p>
    <w:p w14:paraId="0E455BD1" w14:textId="77777777" w:rsidR="00187301" w:rsidRPr="00187301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87301">
        <w:rPr>
          <w:rFonts w:ascii="Times New Roman" w:hAnsi="Times New Roman" w:cs="Times New Roman"/>
          <w:sz w:val="20"/>
          <w:szCs w:val="20"/>
          <w:lang w:val="en-GB"/>
        </w:rPr>
        <w:t>[1] C.E. Shuck et al., Adv. Eng. Mater. 2020, 22, 1901241</w:t>
      </w:r>
    </w:p>
    <w:p w14:paraId="15E00C3D" w14:textId="77777777" w:rsidR="00187301" w:rsidRPr="00187301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87301">
        <w:rPr>
          <w:rFonts w:ascii="Times New Roman" w:hAnsi="Times New Roman" w:cs="Times New Roman"/>
          <w:sz w:val="20"/>
          <w:szCs w:val="20"/>
          <w:lang w:val="en-GB"/>
        </w:rPr>
        <w:t>[2] D.S. Kouao, K. Siuzdak, 2D Materials 2026, 13, 012003</w:t>
      </w:r>
    </w:p>
    <w:p w14:paraId="4F423330" w14:textId="77777777" w:rsidR="00187301" w:rsidRPr="00187301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87301">
        <w:rPr>
          <w:rFonts w:ascii="Times New Roman" w:hAnsi="Times New Roman" w:cs="Times New Roman"/>
          <w:sz w:val="20"/>
          <w:szCs w:val="20"/>
          <w:lang w:val="en-GB"/>
        </w:rPr>
        <w:t>[3] M. Ostermann et al., Small 2025, 21, 2500807</w:t>
      </w:r>
    </w:p>
    <w:p w14:paraId="39B286AA" w14:textId="77777777" w:rsidR="00187301" w:rsidRPr="00187301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0E4F383" w14:textId="77777777" w:rsidR="00187301" w:rsidRPr="00187301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87301">
        <w:rPr>
          <w:rFonts w:ascii="Times New Roman" w:hAnsi="Times New Roman" w:cs="Times New Roman"/>
          <w:sz w:val="20"/>
          <w:szCs w:val="20"/>
          <w:lang w:val="en-GB"/>
        </w:rPr>
        <w:t xml:space="preserve">Acknowledgement: </w:t>
      </w:r>
    </w:p>
    <w:p w14:paraId="66859F48" w14:textId="3A5EB491" w:rsidR="00187301" w:rsidRPr="00187301" w:rsidRDefault="00187301" w:rsidP="0018730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87301">
        <w:rPr>
          <w:rFonts w:ascii="Times New Roman" w:hAnsi="Times New Roman" w:cs="Times New Roman"/>
          <w:sz w:val="20"/>
          <w:szCs w:val="20"/>
          <w:lang w:val="en-GB"/>
        </w:rPr>
        <w:t>This work was financially supported by the National Science Centre (Poland) via M-ERA.NET grant no.: 2024/06/Y/ST11/00223</w:t>
      </w:r>
    </w:p>
    <w:sectPr w:rsidR="00187301" w:rsidRPr="00187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748"/>
    <w:rsid w:val="00045AD5"/>
    <w:rsid w:val="00057F22"/>
    <w:rsid w:val="00061EBB"/>
    <w:rsid w:val="000C547F"/>
    <w:rsid w:val="00187301"/>
    <w:rsid w:val="0028169B"/>
    <w:rsid w:val="00311673"/>
    <w:rsid w:val="00347D25"/>
    <w:rsid w:val="003626EC"/>
    <w:rsid w:val="00383279"/>
    <w:rsid w:val="003C7AE0"/>
    <w:rsid w:val="0054666C"/>
    <w:rsid w:val="00554B9A"/>
    <w:rsid w:val="005932E9"/>
    <w:rsid w:val="005A6FE9"/>
    <w:rsid w:val="005C0748"/>
    <w:rsid w:val="006E40BB"/>
    <w:rsid w:val="006F30E4"/>
    <w:rsid w:val="007933CC"/>
    <w:rsid w:val="007B2768"/>
    <w:rsid w:val="0080193A"/>
    <w:rsid w:val="00854807"/>
    <w:rsid w:val="00857FB3"/>
    <w:rsid w:val="00944DC9"/>
    <w:rsid w:val="00964BA5"/>
    <w:rsid w:val="00A77E05"/>
    <w:rsid w:val="00B8434A"/>
    <w:rsid w:val="00BF3028"/>
    <w:rsid w:val="00C1097F"/>
    <w:rsid w:val="00CA7623"/>
    <w:rsid w:val="00E47EF7"/>
    <w:rsid w:val="00F103D7"/>
    <w:rsid w:val="00F1201E"/>
    <w:rsid w:val="00F4323F"/>
    <w:rsid w:val="00FD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6F2CED"/>
  <w15:chartTrackingRefBased/>
  <w15:docId w15:val="{B0376683-636C-4F01-86F5-193EB715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0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0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07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0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07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0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0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0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0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07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07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07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07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07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07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07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07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07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0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0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0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0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0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07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07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07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07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07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0748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Domylnaczcionkaakapitu"/>
    <w:rsid w:val="00F4323F"/>
  </w:style>
  <w:style w:type="character" w:customStyle="1" w:styleId="spellingerror">
    <w:name w:val="spellingerror"/>
    <w:basedOn w:val="Domylnaczcionkaakapitu"/>
    <w:rsid w:val="00F4323F"/>
  </w:style>
  <w:style w:type="character" w:customStyle="1" w:styleId="eop">
    <w:name w:val="eop"/>
    <w:basedOn w:val="Domylnaczcionkaakapitu"/>
    <w:rsid w:val="00F4323F"/>
  </w:style>
  <w:style w:type="paragraph" w:styleId="Tekstdymka">
    <w:name w:val="Balloon Text"/>
    <w:basedOn w:val="Normalny"/>
    <w:link w:val="TekstdymkaZnak"/>
    <w:uiPriority w:val="99"/>
    <w:semiHidden/>
    <w:unhideWhenUsed/>
    <w:rsid w:val="00CA7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762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76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76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76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76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762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57F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788F2-79AC-4411-8F1F-9E273C59D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479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Lipińska</dc:creator>
  <cp:keywords/>
  <dc:description/>
  <cp:lastModifiedBy>Katarzyna Siuzdak</cp:lastModifiedBy>
  <cp:revision>3</cp:revision>
  <dcterms:created xsi:type="dcterms:W3CDTF">2026-09-28T12:10:00Z</dcterms:created>
  <dcterms:modified xsi:type="dcterms:W3CDTF">2026-09-28T12:12:00Z</dcterms:modified>
</cp:coreProperties>
</file>