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8CA7" w14:textId="1C338625" w:rsidR="00325004" w:rsidRPr="00A86EB9" w:rsidRDefault="007B294E" w:rsidP="00E0716D">
      <w:pPr>
        <w:jc w:val="center"/>
        <w:rPr>
          <w:b/>
          <w:sz w:val="28"/>
        </w:rPr>
      </w:pPr>
      <w:r>
        <w:rPr>
          <w:b/>
          <w:sz w:val="28"/>
        </w:rPr>
        <w:t>Disentangling Multi-Scale Interfacial Phenomena in CO</w:t>
      </w:r>
      <w:r w:rsidRPr="007B294E">
        <w:rPr>
          <w:b/>
          <w:sz w:val="28"/>
          <w:vertAlign w:val="subscript"/>
        </w:rPr>
        <w:t>2</w:t>
      </w:r>
      <w:r>
        <w:rPr>
          <w:b/>
          <w:sz w:val="28"/>
        </w:rPr>
        <w:t xml:space="preserve"> Electroreduction on Copper</w:t>
      </w:r>
    </w:p>
    <w:p w14:paraId="6608D947" w14:textId="77777777" w:rsidR="00325004" w:rsidRPr="00A86EB9" w:rsidRDefault="00325004" w:rsidP="00E0716D">
      <w:pPr>
        <w:jc w:val="center"/>
        <w:rPr>
          <w:b/>
          <w:sz w:val="28"/>
        </w:rPr>
      </w:pPr>
    </w:p>
    <w:p w14:paraId="7C84673C" w14:textId="15703F38" w:rsidR="00325004" w:rsidRPr="002A6AE0" w:rsidRDefault="002A6AE0" w:rsidP="00E0716D">
      <w:pPr>
        <w:jc w:val="center"/>
      </w:pPr>
      <w:r>
        <w:rPr>
          <w:u w:val="single"/>
        </w:rPr>
        <w:t>Daniel</w:t>
      </w:r>
      <w:r w:rsidR="00325004">
        <w:rPr>
          <w:u w:val="single"/>
        </w:rPr>
        <w:t xml:space="preserve"> </w:t>
      </w:r>
      <w:r>
        <w:rPr>
          <w:u w:val="single"/>
        </w:rPr>
        <w:t>Sinausia</w:t>
      </w:r>
      <w:r w:rsidR="002B7B71" w:rsidRPr="002B7B71">
        <w:t xml:space="preserve">, </w:t>
      </w:r>
      <w:r w:rsidRPr="002B7B71">
        <w:rPr>
          <w:vertAlign w:val="superscript"/>
        </w:rPr>
        <w:t>1,2</w:t>
      </w:r>
      <w:r w:rsidR="00325004">
        <w:t xml:space="preserve"> </w:t>
      </w:r>
      <w:r w:rsidRPr="002A6AE0">
        <w:rPr>
          <w:color w:val="222222"/>
          <w:shd w:val="clear" w:color="auto" w:fill="FFFFFF"/>
        </w:rPr>
        <w:t>Ranga Rohit Seemakurthi</w:t>
      </w:r>
      <w:r w:rsidR="002B7B71">
        <w:rPr>
          <w:color w:val="222222"/>
          <w:shd w:val="clear" w:color="auto" w:fill="FFFFFF"/>
        </w:rPr>
        <w:t>,</w:t>
      </w:r>
      <w:r>
        <w:rPr>
          <w:u w:val="single"/>
          <w:vertAlign w:val="superscript"/>
        </w:rPr>
        <w:t>3</w:t>
      </w:r>
      <w:r w:rsidRPr="002A6AE0">
        <w:rPr>
          <w:color w:val="222222"/>
          <w:shd w:val="clear" w:color="auto" w:fill="FFFFFF"/>
        </w:rPr>
        <w:t xml:space="preserve"> Ariel Kelrikh</w:t>
      </w:r>
      <w:r w:rsidR="002B7B71">
        <w:rPr>
          <w:color w:val="222222"/>
          <w:shd w:val="clear" w:color="auto" w:fill="FFFFFF"/>
        </w:rPr>
        <w:t>,</w:t>
      </w:r>
      <w:r>
        <w:rPr>
          <w:u w:val="single"/>
          <w:vertAlign w:val="superscript"/>
        </w:rPr>
        <w:t>2</w:t>
      </w:r>
      <w:r w:rsidRPr="002A6AE0">
        <w:rPr>
          <w:color w:val="222222"/>
          <w:shd w:val="clear" w:color="auto" w:fill="FFFFFF"/>
        </w:rPr>
        <w:t xml:space="preserve"> </w:t>
      </w:r>
      <w:proofErr w:type="spellStart"/>
      <w:r w:rsidRPr="002A6AE0">
        <w:rPr>
          <w:color w:val="222222"/>
          <w:shd w:val="clear" w:color="auto" w:fill="FFFFFF"/>
        </w:rPr>
        <w:t>Zhaohuai</w:t>
      </w:r>
      <w:proofErr w:type="spellEnd"/>
      <w:r w:rsidRPr="002A6AE0">
        <w:rPr>
          <w:color w:val="222222"/>
          <w:shd w:val="clear" w:color="auto" w:fill="FFFFFF"/>
        </w:rPr>
        <w:t xml:space="preserve"> Chen</w:t>
      </w:r>
      <w:r w:rsidR="002B7B71">
        <w:rPr>
          <w:color w:val="222222"/>
          <w:shd w:val="clear" w:color="auto" w:fill="FFFFFF"/>
        </w:rPr>
        <w:t>,</w:t>
      </w:r>
      <w:r>
        <w:rPr>
          <w:u w:val="single"/>
          <w:vertAlign w:val="superscript"/>
        </w:rPr>
        <w:t>2</w:t>
      </w:r>
      <w:r w:rsidRPr="002A6AE0">
        <w:rPr>
          <w:color w:val="222222"/>
          <w:shd w:val="clear" w:color="auto" w:fill="FFFFFF"/>
        </w:rPr>
        <w:t xml:space="preserve"> Weiran Zheng</w:t>
      </w:r>
      <w:r w:rsidR="002B7B71">
        <w:rPr>
          <w:color w:val="222222"/>
          <w:shd w:val="clear" w:color="auto" w:fill="FFFFFF"/>
        </w:rPr>
        <w:t>,</w:t>
      </w:r>
      <w:r>
        <w:rPr>
          <w:u w:val="single"/>
          <w:vertAlign w:val="superscript"/>
        </w:rPr>
        <w:t>4</w:t>
      </w:r>
      <w:r w:rsidRPr="002A6AE0">
        <w:rPr>
          <w:color w:val="222222"/>
          <w:shd w:val="clear" w:color="auto" w:fill="FFFFFF"/>
        </w:rPr>
        <w:t xml:space="preserve"> Núria López</w:t>
      </w:r>
      <w:r w:rsidR="002B7B71">
        <w:rPr>
          <w:color w:val="222222"/>
          <w:shd w:val="clear" w:color="auto" w:fill="FFFFFF"/>
        </w:rPr>
        <w:t>,</w:t>
      </w:r>
      <w:r>
        <w:rPr>
          <w:u w:val="single"/>
          <w:vertAlign w:val="superscript"/>
        </w:rPr>
        <w:t>3</w:t>
      </w:r>
      <w:r w:rsidRPr="002A6AE0">
        <w:rPr>
          <w:color w:val="222222"/>
          <w:shd w:val="clear" w:color="auto" w:fill="FFFFFF"/>
        </w:rPr>
        <w:t xml:space="preserve"> Charlotte Vogt</w:t>
      </w:r>
      <w:r>
        <w:rPr>
          <w:u w:val="single"/>
          <w:vertAlign w:val="superscript"/>
        </w:rPr>
        <w:t>2</w:t>
      </w:r>
    </w:p>
    <w:p w14:paraId="7E795EF5" w14:textId="1D9953EC" w:rsidR="00325004" w:rsidRDefault="007B294E" w:rsidP="00E0716D">
      <w:pPr>
        <w:jc w:val="center"/>
        <w:rPr>
          <w:i/>
        </w:rPr>
      </w:pPr>
      <w:r>
        <w:rPr>
          <w:i/>
          <w:vertAlign w:val="superscript"/>
        </w:rPr>
        <w:t>1</w:t>
      </w:r>
      <w:r>
        <w:rPr>
          <w:i/>
        </w:rPr>
        <w:t>Department</w:t>
      </w:r>
      <w:r w:rsidR="009631C7">
        <w:rPr>
          <w:i/>
        </w:rPr>
        <w:t xml:space="preserve"> of Energy Conversion and Storage. Technical University of Denmark, Kgs Lyngby, 2800, Denmark.</w:t>
      </w:r>
    </w:p>
    <w:p w14:paraId="4B440429" w14:textId="45B6DF02" w:rsidR="007B294E" w:rsidRPr="00A86EB9" w:rsidRDefault="007B294E" w:rsidP="007B294E">
      <w:pPr>
        <w:jc w:val="center"/>
        <w:rPr>
          <w:i/>
        </w:rPr>
      </w:pPr>
      <w:r w:rsidRPr="007B294E">
        <w:rPr>
          <w:i/>
          <w:vertAlign w:val="superscript"/>
        </w:rPr>
        <w:t>2</w:t>
      </w:r>
      <w:r>
        <w:rPr>
          <w:i/>
        </w:rPr>
        <w:t>Schulich Faculty of Chemistry and Resnick Sustainability Center for Catalysis. Technion – Israel Institute of Technology, Haifa, 3200002, Israel.</w:t>
      </w:r>
    </w:p>
    <w:p w14:paraId="066E29BE" w14:textId="6F5FB530" w:rsidR="007B294E" w:rsidRDefault="007B294E" w:rsidP="007B294E">
      <w:pPr>
        <w:jc w:val="center"/>
        <w:rPr>
          <w:i/>
        </w:rPr>
      </w:pPr>
      <w:r>
        <w:rPr>
          <w:i/>
          <w:vertAlign w:val="superscript"/>
        </w:rPr>
        <w:t>3</w:t>
      </w:r>
      <w:r>
        <w:rPr>
          <w:i/>
        </w:rPr>
        <w:t>Barcelona Institute of Science and Technology (BIST), Institute of Chemical Research of Catalonia (ICIQ-CERCA). Tarragona, 43007, Spain.</w:t>
      </w:r>
    </w:p>
    <w:p w14:paraId="3F3C35D1" w14:textId="116E0C28" w:rsidR="007B294E" w:rsidRPr="00A86EB9" w:rsidRDefault="007B294E" w:rsidP="001B4FEE">
      <w:pPr>
        <w:jc w:val="center"/>
        <w:rPr>
          <w:i/>
        </w:rPr>
      </w:pPr>
      <w:r>
        <w:rPr>
          <w:i/>
          <w:vertAlign w:val="superscript"/>
        </w:rPr>
        <w:t>4</w:t>
      </w:r>
      <w:r>
        <w:rPr>
          <w:i/>
        </w:rPr>
        <w:t>Department of Chemistry</w:t>
      </w:r>
      <w:r w:rsidR="001B4FEE">
        <w:rPr>
          <w:i/>
        </w:rPr>
        <w:t>, Guangdong</w:t>
      </w:r>
      <w:r>
        <w:rPr>
          <w:i/>
        </w:rPr>
        <w:t xml:space="preserve"> </w:t>
      </w:r>
      <w:r w:rsidR="001B4FEE">
        <w:rPr>
          <w:i/>
        </w:rPr>
        <w:t>Technion – Israel Institute of Technology, Shantou, 515063, China.</w:t>
      </w:r>
    </w:p>
    <w:p w14:paraId="63D47078" w14:textId="4DF75F6F" w:rsidR="00685C1A" w:rsidRPr="00685C1A" w:rsidRDefault="007B294E" w:rsidP="00E0716D">
      <w:pPr>
        <w:jc w:val="center"/>
        <w:rPr>
          <w:i/>
        </w:rPr>
      </w:pPr>
      <w:r>
        <w:rPr>
          <w:i/>
        </w:rPr>
        <w:t>dsima@dtu.dk</w:t>
      </w:r>
    </w:p>
    <w:p w14:paraId="67EB9730" w14:textId="77777777" w:rsidR="00325004" w:rsidRDefault="00325004" w:rsidP="00E0716D">
      <w:pPr>
        <w:jc w:val="center"/>
      </w:pPr>
    </w:p>
    <w:p w14:paraId="6956C8D1" w14:textId="524DD88D" w:rsidR="00325004" w:rsidRDefault="009631C7" w:rsidP="00E0716D">
      <w:pPr>
        <w:jc w:val="both"/>
      </w:pPr>
      <w:r>
        <w:t>Electrochemical processes are fundamental to emerging cleaner energy conversion and storage technologies, such as the CO</w:t>
      </w:r>
      <w:r>
        <w:rPr>
          <w:vertAlign w:val="subscript"/>
        </w:rPr>
        <w:t>2</w:t>
      </w:r>
      <w:r>
        <w:t xml:space="preserve"> reduction reaction (CO</w:t>
      </w:r>
      <w:r w:rsidRPr="009631C7">
        <w:rPr>
          <w:vertAlign w:val="subscript"/>
        </w:rPr>
        <w:t>2</w:t>
      </w:r>
      <w:r>
        <w:t>RR). At the core of these processes is the electric double layer (EDL); a dynamically structured interfacial region formed at the electrode-electrolyte interface. The properties of this region, which plays a critical role in determining catalytic selectivity, are strongly influenced by the local electric field and chemical composition. Yet, the EDL remains poorly understood, limiting insights into the complex, dynamic, nature of this highly important region.</w:t>
      </w:r>
    </w:p>
    <w:p w14:paraId="6691338C" w14:textId="77777777" w:rsidR="004A1FD1" w:rsidRDefault="004A1FD1" w:rsidP="00E0716D">
      <w:pPr>
        <w:jc w:val="both"/>
      </w:pPr>
    </w:p>
    <w:p w14:paraId="6DAD6FB9" w14:textId="621CBD2A" w:rsidR="009631C7" w:rsidRPr="009631C7" w:rsidRDefault="009631C7" w:rsidP="004A1FD1">
      <w:pPr>
        <w:jc w:val="both"/>
      </w:pPr>
      <w:r>
        <w:t xml:space="preserve">In this seminar, we will discuss the development </w:t>
      </w:r>
      <w:r w:rsidRPr="009631C7">
        <w:t xml:space="preserve">an advanced operando </w:t>
      </w:r>
      <w:proofErr w:type="spellStart"/>
      <w:r w:rsidRPr="009631C7">
        <w:t>spectro</w:t>
      </w:r>
      <w:proofErr w:type="spellEnd"/>
      <w:r w:rsidRPr="009631C7">
        <w:t>-electrochemical approach, which combines (i) high time resolution operando perturbation-based spectroscopy, (ii) novel experimental design for quasi-high throughput experimentation, and (iii) advanced data mining approaches,</w:t>
      </w:r>
      <w:r>
        <w:t xml:space="preserve"> </w:t>
      </w:r>
      <w:r w:rsidRPr="009631C7">
        <w:t>to unravel the complexities of EDL and its interplay with reaction kinetics. This strategy, termed Dynamic</w:t>
      </w:r>
      <w:r>
        <w:t xml:space="preserve"> </w:t>
      </w:r>
      <w:r w:rsidRPr="009631C7">
        <w:t>Response Spectroscopy (DRS),</w:t>
      </w:r>
      <w:r w:rsidRPr="004A1FD1">
        <w:rPr>
          <w:rStyle w:val="s1"/>
          <w:sz w:val="20"/>
          <w:szCs w:val="20"/>
          <w:vertAlign w:val="superscript"/>
        </w:rPr>
        <w:t>1</w:t>
      </w:r>
      <w:r w:rsidRPr="009631C7">
        <w:t xml:space="preserve"> uses eigendecomposition of time-resolved infrared spectral matrices, collected by predominantly infrared spectroscopy. Through this analytical framework, we successfully speciate the interfacial spectroscopic contributions based on their temporal response profiles to an applied stimulus.</w:t>
      </w:r>
      <w:r w:rsidR="00C64B46">
        <w:t xml:space="preserve"> </w:t>
      </w:r>
      <w:r w:rsidRPr="009631C7">
        <w:t>This approach is used in conjunction with the application of temporally structured electrochemical</w:t>
      </w:r>
      <w:r>
        <w:t xml:space="preserve"> </w:t>
      </w:r>
      <w:r w:rsidRPr="009631C7">
        <w:t xml:space="preserve">perturbations, </w:t>
      </w:r>
      <w:r w:rsidRPr="009631C7">
        <w:rPr>
          <w:i/>
          <w:iCs/>
        </w:rPr>
        <w:t>i.e.</w:t>
      </w:r>
      <w:r w:rsidRPr="009631C7">
        <w:t>, electrochemical potential pulses, which allow for the deconvolution of overlapping ki-</w:t>
      </w:r>
    </w:p>
    <w:p w14:paraId="24F0F3AE" w14:textId="77777777" w:rsidR="00C64B46" w:rsidRDefault="009631C7" w:rsidP="004A1FD1">
      <w:pPr>
        <w:pStyle w:val="p1"/>
        <w:jc w:val="both"/>
      </w:pPr>
      <w:r w:rsidRPr="009631C7">
        <w:rPr>
          <w:sz w:val="20"/>
          <w:szCs w:val="20"/>
        </w:rPr>
        <w:t>netic modes of the different interfacial regions of the EDL.</w:t>
      </w:r>
      <w:r w:rsidRPr="004A1FD1">
        <w:rPr>
          <w:rStyle w:val="s1"/>
          <w:sz w:val="20"/>
          <w:szCs w:val="20"/>
          <w:vertAlign w:val="superscript"/>
        </w:rPr>
        <w:t>2</w:t>
      </w:r>
      <w:r w:rsidRPr="009631C7">
        <w:rPr>
          <w:sz w:val="20"/>
          <w:szCs w:val="20"/>
        </w:rPr>
        <w:t xml:space="preserve"> Through the application of this method,</w:t>
      </w:r>
      <w:r w:rsidRPr="004A1FD1">
        <w:rPr>
          <w:rStyle w:val="s1"/>
          <w:sz w:val="20"/>
          <w:szCs w:val="20"/>
          <w:vertAlign w:val="superscript"/>
        </w:rPr>
        <w:t>1</w:t>
      </w:r>
      <w:r w:rsidRPr="009631C7">
        <w:rPr>
          <w:sz w:val="20"/>
          <w:szCs w:val="20"/>
        </w:rPr>
        <w:t xml:space="preserve"> we</w:t>
      </w:r>
      <w:r w:rsidR="00C64B46">
        <w:rPr>
          <w:sz w:val="20"/>
          <w:szCs w:val="20"/>
        </w:rPr>
        <w:t xml:space="preserve"> </w:t>
      </w:r>
      <w:r w:rsidRPr="009631C7">
        <w:rPr>
          <w:sz w:val="20"/>
          <w:szCs w:val="20"/>
        </w:rPr>
        <w:t>found evidence that increased presence of CO</w:t>
      </w:r>
      <w:r w:rsidRPr="004A1FD1">
        <w:rPr>
          <w:rStyle w:val="s1"/>
          <w:sz w:val="20"/>
          <w:szCs w:val="20"/>
          <w:vertAlign w:val="subscript"/>
        </w:rPr>
        <w:t>2</w:t>
      </w:r>
      <w:r w:rsidRPr="009631C7">
        <w:rPr>
          <w:sz w:val="20"/>
          <w:szCs w:val="20"/>
        </w:rPr>
        <w:t xml:space="preserve"> in the system leads to less structured EDLs, leading to</w:t>
      </w:r>
      <w:r>
        <w:rPr>
          <w:sz w:val="20"/>
          <w:szCs w:val="20"/>
        </w:rPr>
        <w:t xml:space="preserve">  i</w:t>
      </w:r>
      <w:r w:rsidRPr="009631C7">
        <w:rPr>
          <w:sz w:val="20"/>
          <w:szCs w:val="20"/>
        </w:rPr>
        <w:t>ntense and sudden reorganization events of the microstructure of the interface. These events are highly</w:t>
      </w:r>
      <w:r>
        <w:rPr>
          <w:sz w:val="20"/>
          <w:szCs w:val="20"/>
        </w:rPr>
        <w:t xml:space="preserve"> </w:t>
      </w:r>
      <w:r w:rsidRPr="009631C7">
        <w:rPr>
          <w:sz w:val="20"/>
          <w:szCs w:val="20"/>
        </w:rPr>
        <w:t>correlated with turnover; the adsorption and subsequent reduction of reactant CO</w:t>
      </w:r>
      <w:r w:rsidRPr="004A1FD1">
        <w:rPr>
          <w:rStyle w:val="s1"/>
          <w:sz w:val="20"/>
          <w:szCs w:val="20"/>
          <w:vertAlign w:val="subscript"/>
        </w:rPr>
        <w:t>2</w:t>
      </w:r>
      <w:r w:rsidRPr="009631C7">
        <w:rPr>
          <w:sz w:val="20"/>
          <w:szCs w:val="20"/>
        </w:rPr>
        <w:t>.</w:t>
      </w:r>
      <w:r w:rsidRPr="004A1FD1">
        <w:rPr>
          <w:rStyle w:val="s1"/>
          <w:sz w:val="20"/>
          <w:szCs w:val="20"/>
          <w:vertAlign w:val="superscript"/>
        </w:rPr>
        <w:t>1</w:t>
      </w:r>
      <w:r>
        <w:t xml:space="preserve"> </w:t>
      </w:r>
    </w:p>
    <w:p w14:paraId="6B7907A2" w14:textId="77777777" w:rsidR="00C64B46" w:rsidRDefault="00C64B46" w:rsidP="004A1FD1">
      <w:pPr>
        <w:pStyle w:val="p1"/>
        <w:jc w:val="both"/>
      </w:pPr>
    </w:p>
    <w:p w14:paraId="7874F601" w14:textId="4AC10F69" w:rsidR="009631C7" w:rsidRPr="00C64B46" w:rsidRDefault="009631C7" w:rsidP="004A1FD1">
      <w:pPr>
        <w:pStyle w:val="p1"/>
        <w:jc w:val="both"/>
        <w:rPr>
          <w:rStyle w:val="s1"/>
          <w:sz w:val="20"/>
          <w:szCs w:val="20"/>
        </w:rPr>
      </w:pPr>
      <w:r w:rsidRPr="004A1FD1">
        <w:rPr>
          <w:sz w:val="20"/>
          <w:szCs w:val="20"/>
        </w:rPr>
        <w:t>Building on this foundation, Long Short-Term Memory (LSTM) neural networks were employed to capture complex temporal</w:t>
      </w:r>
      <w:r w:rsidR="004A1FD1">
        <w:rPr>
          <w:sz w:val="20"/>
          <w:szCs w:val="20"/>
        </w:rPr>
        <w:t xml:space="preserve"> </w:t>
      </w:r>
      <w:r w:rsidRPr="004A1FD1">
        <w:rPr>
          <w:sz w:val="20"/>
          <w:szCs w:val="20"/>
        </w:rPr>
        <w:t>dependencies of different reaction intermediates from the ensemble of other spectral features. This analysis</w:t>
      </w:r>
      <w:r w:rsidR="004A1FD1">
        <w:rPr>
          <w:sz w:val="20"/>
          <w:szCs w:val="20"/>
        </w:rPr>
        <w:t xml:space="preserve"> </w:t>
      </w:r>
      <w:r w:rsidRPr="004A1FD1">
        <w:rPr>
          <w:sz w:val="20"/>
          <w:szCs w:val="20"/>
        </w:rPr>
        <w:t>was performed under varying experimental conditions, where different cations and anions were employed</w:t>
      </w:r>
      <w:r w:rsidR="004A1FD1">
        <w:rPr>
          <w:sz w:val="20"/>
          <w:szCs w:val="20"/>
        </w:rPr>
        <w:t xml:space="preserve"> </w:t>
      </w:r>
      <w:r w:rsidRPr="004A1FD1">
        <w:rPr>
          <w:sz w:val="20"/>
          <w:szCs w:val="20"/>
        </w:rPr>
        <w:t xml:space="preserve">across a wide range of experiments to create a multivariate matrix of datasets, providing mechanistic insights into, </w:t>
      </w:r>
      <w:r w:rsidRPr="004A1FD1">
        <w:rPr>
          <w:i/>
          <w:iCs/>
          <w:sz w:val="20"/>
          <w:szCs w:val="20"/>
        </w:rPr>
        <w:t>e.g.</w:t>
      </w:r>
      <w:r w:rsidRPr="004A1FD1">
        <w:rPr>
          <w:sz w:val="20"/>
          <w:szCs w:val="20"/>
        </w:rPr>
        <w:t>, the relevance of the different binding configurations of the key reaction intermediate *CO</w:t>
      </w:r>
      <w:r w:rsidR="004A1FD1">
        <w:rPr>
          <w:sz w:val="20"/>
          <w:szCs w:val="20"/>
        </w:rPr>
        <w:t xml:space="preserve"> </w:t>
      </w:r>
      <w:r w:rsidRPr="004A1FD1">
        <w:rPr>
          <w:sz w:val="20"/>
          <w:szCs w:val="20"/>
        </w:rPr>
        <w:t>for the reaction and the roles that different cations play in these observations.</w:t>
      </w:r>
      <w:r w:rsidRPr="004A1FD1">
        <w:rPr>
          <w:rStyle w:val="s1"/>
          <w:sz w:val="20"/>
          <w:szCs w:val="20"/>
          <w:vertAlign w:val="superscript"/>
        </w:rPr>
        <w:t>3</w:t>
      </w:r>
    </w:p>
    <w:p w14:paraId="7A762911" w14:textId="77777777" w:rsidR="004A1FD1" w:rsidRPr="004A1FD1" w:rsidRDefault="004A1FD1" w:rsidP="004A1FD1">
      <w:pPr>
        <w:pStyle w:val="p1"/>
        <w:jc w:val="both"/>
        <w:rPr>
          <w:sz w:val="20"/>
          <w:szCs w:val="20"/>
        </w:rPr>
      </w:pPr>
    </w:p>
    <w:p w14:paraId="3A0E7FEC" w14:textId="77777777" w:rsidR="009631C7" w:rsidRPr="004A1FD1" w:rsidRDefault="009631C7" w:rsidP="004A1FD1">
      <w:pPr>
        <w:pStyle w:val="p1"/>
        <w:jc w:val="both"/>
        <w:rPr>
          <w:sz w:val="20"/>
          <w:szCs w:val="20"/>
        </w:rPr>
      </w:pPr>
      <w:r w:rsidRPr="004A1FD1">
        <w:rPr>
          <w:sz w:val="20"/>
          <w:szCs w:val="20"/>
        </w:rPr>
        <w:t>Overall, the development of these strategies expands our set of experimental tools to dive into the different</w:t>
      </w:r>
    </w:p>
    <w:p w14:paraId="594E4871" w14:textId="77777777" w:rsidR="009631C7" w:rsidRPr="004A1FD1" w:rsidRDefault="009631C7" w:rsidP="004A1FD1">
      <w:pPr>
        <w:pStyle w:val="p1"/>
        <w:jc w:val="both"/>
        <w:rPr>
          <w:sz w:val="20"/>
          <w:szCs w:val="20"/>
        </w:rPr>
      </w:pPr>
      <w:r w:rsidRPr="004A1FD1">
        <w:rPr>
          <w:sz w:val="20"/>
          <w:szCs w:val="20"/>
        </w:rPr>
        <w:t>processes occurring in our electrochemical system, bridging the gap between experimental and theoretical</w:t>
      </w:r>
    </w:p>
    <w:p w14:paraId="2B3DEA5F" w14:textId="77777777" w:rsidR="009631C7" w:rsidRDefault="009631C7" w:rsidP="004A1FD1">
      <w:pPr>
        <w:pStyle w:val="p1"/>
        <w:jc w:val="both"/>
        <w:rPr>
          <w:sz w:val="20"/>
          <w:szCs w:val="20"/>
        </w:rPr>
      </w:pPr>
      <w:r w:rsidRPr="004A1FD1">
        <w:rPr>
          <w:sz w:val="20"/>
          <w:szCs w:val="20"/>
        </w:rPr>
        <w:t>research in the search for more efficient reaction catalysts.</w:t>
      </w:r>
    </w:p>
    <w:p w14:paraId="53984E9B" w14:textId="77777777" w:rsidR="00C64B46" w:rsidRDefault="00C64B46" w:rsidP="004A1FD1">
      <w:pPr>
        <w:pStyle w:val="p1"/>
        <w:jc w:val="both"/>
        <w:rPr>
          <w:sz w:val="20"/>
          <w:szCs w:val="20"/>
        </w:rPr>
      </w:pPr>
    </w:p>
    <w:p w14:paraId="13C31E6C" w14:textId="77777777" w:rsidR="004A1FD1" w:rsidRPr="004A1FD1" w:rsidRDefault="004A1FD1" w:rsidP="004A1FD1">
      <w:pPr>
        <w:pStyle w:val="p1"/>
        <w:jc w:val="both"/>
        <w:rPr>
          <w:sz w:val="20"/>
          <w:szCs w:val="20"/>
        </w:rPr>
      </w:pPr>
    </w:p>
    <w:p w14:paraId="015517C1" w14:textId="77777777" w:rsidR="009631C7" w:rsidRPr="004A1FD1" w:rsidRDefault="009631C7" w:rsidP="004A1FD1">
      <w:pPr>
        <w:pStyle w:val="p2"/>
        <w:jc w:val="both"/>
        <w:rPr>
          <w:rFonts w:ascii="Times New Roman" w:hAnsi="Times New Roman"/>
          <w:b/>
          <w:bCs/>
          <w:sz w:val="20"/>
          <w:szCs w:val="20"/>
        </w:rPr>
      </w:pPr>
      <w:r w:rsidRPr="004A1FD1">
        <w:rPr>
          <w:rFonts w:ascii="Times New Roman" w:hAnsi="Times New Roman"/>
          <w:b/>
          <w:bCs/>
          <w:sz w:val="20"/>
          <w:szCs w:val="20"/>
        </w:rPr>
        <w:t>References</w:t>
      </w:r>
    </w:p>
    <w:p w14:paraId="0930B9BF" w14:textId="5BC73EB5" w:rsidR="004A1FD1" w:rsidRPr="004A1FD1" w:rsidRDefault="004A1FD1" w:rsidP="004A1FD1">
      <w:pPr>
        <w:pStyle w:val="ListParagraph"/>
        <w:widowControl/>
        <w:numPr>
          <w:ilvl w:val="0"/>
          <w:numId w:val="1"/>
        </w:numPr>
        <w:jc w:val="both"/>
        <w:rPr>
          <w:snapToGrid/>
          <w:color w:val="000000"/>
          <w:lang w:val="en-ES" w:eastAsia="en-GB"/>
        </w:rPr>
      </w:pPr>
      <w:r w:rsidRPr="004A1FD1">
        <w:rPr>
          <w:snapToGrid/>
          <w:color w:val="000000"/>
          <w:lang w:val="en-ES" w:eastAsia="en-GB"/>
        </w:rPr>
        <w:t>Sinausia, D., Zisser, N., Slot, T. K., Meirer, F. &amp; Vogt, C. Decoding Double Layer Dynamics for CO</w:t>
      </w:r>
      <w:r w:rsidRPr="004A1FD1">
        <w:rPr>
          <w:snapToGrid/>
          <w:color w:val="000000"/>
          <w:vertAlign w:val="subscript"/>
          <w:lang w:val="en-ES" w:eastAsia="en-GB"/>
        </w:rPr>
        <w:t>2</w:t>
      </w:r>
      <w:r w:rsidRPr="004A1FD1">
        <w:rPr>
          <w:snapToGrid/>
          <w:color w:val="000000"/>
          <w:lang w:val="en-ES" w:eastAsia="en-GB"/>
        </w:rPr>
        <w:t xml:space="preserve"> Electroreduction over Cu. </w:t>
      </w:r>
      <w:r w:rsidRPr="004A1FD1">
        <w:rPr>
          <w:i/>
          <w:iCs/>
          <w:snapToGrid/>
          <w:color w:val="000000"/>
          <w:lang w:val="en-ES" w:eastAsia="en-GB"/>
        </w:rPr>
        <w:t>Angew. Chem. Int. Ed.</w:t>
      </w:r>
      <w:r w:rsidRPr="004A1FD1">
        <w:rPr>
          <w:snapToGrid/>
          <w:color w:val="000000"/>
          <w:lang w:val="en-ES" w:eastAsia="en-GB"/>
        </w:rPr>
        <w:t xml:space="preserve"> (</w:t>
      </w:r>
      <w:r w:rsidRPr="004A1FD1">
        <w:rPr>
          <w:b/>
          <w:bCs/>
          <w:snapToGrid/>
          <w:color w:val="000000"/>
          <w:lang w:val="en-ES" w:eastAsia="en-GB"/>
        </w:rPr>
        <w:t>2025</w:t>
      </w:r>
      <w:r w:rsidRPr="004A1FD1">
        <w:rPr>
          <w:snapToGrid/>
          <w:color w:val="000000"/>
          <w:lang w:val="en-ES" w:eastAsia="en-GB"/>
        </w:rPr>
        <w:t>), e202423177.</w:t>
      </w:r>
    </w:p>
    <w:p w14:paraId="25F25D40" w14:textId="222BB0D0" w:rsidR="004A1FD1" w:rsidRPr="004A1FD1" w:rsidRDefault="004A1FD1" w:rsidP="004A1FD1">
      <w:pPr>
        <w:pStyle w:val="ListParagraph"/>
        <w:widowControl/>
        <w:numPr>
          <w:ilvl w:val="0"/>
          <w:numId w:val="1"/>
        </w:numPr>
        <w:jc w:val="both"/>
        <w:rPr>
          <w:snapToGrid/>
          <w:color w:val="000000"/>
          <w:lang w:val="en-ES" w:eastAsia="en-GB"/>
        </w:rPr>
      </w:pPr>
      <w:r w:rsidRPr="004A1FD1">
        <w:rPr>
          <w:snapToGrid/>
          <w:color w:val="000000"/>
          <w:lang w:val="en-ES" w:eastAsia="en-GB"/>
        </w:rPr>
        <w:t>Sinausia, D., Meirer, F., Frenkel, A. &amp; Vogt, C. Dynamic Response Spectroscopy: An Emergentist Framework for Multi-Timescale Catalytic Interfacial Dynamics</w:t>
      </w:r>
      <w:r>
        <w:rPr>
          <w:snapToGrid/>
          <w:color w:val="000000"/>
          <w:lang w:val="en-ES" w:eastAsia="en-GB"/>
        </w:rPr>
        <w:t>.</w:t>
      </w:r>
      <w:r w:rsidRPr="004A1FD1">
        <w:rPr>
          <w:snapToGrid/>
          <w:color w:val="000000"/>
          <w:lang w:val="en-ES" w:eastAsia="en-GB"/>
        </w:rPr>
        <w:t xml:space="preserve"> </w:t>
      </w:r>
      <w:r>
        <w:rPr>
          <w:i/>
          <w:iCs/>
          <w:snapToGrid/>
          <w:color w:val="000000"/>
          <w:lang w:val="en-ES" w:eastAsia="en-GB"/>
        </w:rPr>
        <w:t xml:space="preserve">ACS Catal. </w:t>
      </w:r>
      <w:r>
        <w:rPr>
          <w:snapToGrid/>
          <w:color w:val="000000"/>
          <w:lang w:val="en-ES" w:eastAsia="en-GB"/>
        </w:rPr>
        <w:t>(</w:t>
      </w:r>
      <w:r>
        <w:rPr>
          <w:b/>
          <w:bCs/>
          <w:snapToGrid/>
          <w:color w:val="000000"/>
          <w:lang w:val="en-ES" w:eastAsia="en-GB"/>
        </w:rPr>
        <w:t>2025</w:t>
      </w:r>
      <w:r>
        <w:rPr>
          <w:snapToGrid/>
          <w:color w:val="000000"/>
          <w:lang w:val="en-ES" w:eastAsia="en-GB"/>
        </w:rPr>
        <w:t>), 15, 19397-19409.</w:t>
      </w:r>
    </w:p>
    <w:p w14:paraId="2B70963A" w14:textId="05585984" w:rsidR="00E0716D" w:rsidRDefault="00577C8A" w:rsidP="00E0716D">
      <w:pPr>
        <w:pStyle w:val="ListParagraph"/>
        <w:numPr>
          <w:ilvl w:val="0"/>
          <w:numId w:val="1"/>
        </w:numPr>
        <w:jc w:val="both"/>
      </w:pPr>
      <w:r>
        <w:t xml:space="preserve">Sinausia, D, </w:t>
      </w:r>
      <w:proofErr w:type="spellStart"/>
      <w:r>
        <w:t>Seemakurthi</w:t>
      </w:r>
      <w:proofErr w:type="spellEnd"/>
      <w:r>
        <w:t xml:space="preserve">, R. R., </w:t>
      </w:r>
      <w:proofErr w:type="spellStart"/>
      <w:r>
        <w:t>Kelrikh</w:t>
      </w:r>
      <w:proofErr w:type="spellEnd"/>
      <w:r>
        <w:t xml:space="preserve">, A., Chen, Z., Zheng, W., López, N., Vogt, C., </w:t>
      </w:r>
      <w:r w:rsidR="004A1FD1">
        <w:t>Operando Interfacial Dynamics Govern Cation Effects in Electrochemical CO</w:t>
      </w:r>
      <w:r w:rsidR="004A1FD1" w:rsidRPr="00577C8A">
        <w:rPr>
          <w:vertAlign w:val="subscript"/>
        </w:rPr>
        <w:t>2</w:t>
      </w:r>
      <w:r w:rsidR="004A1FD1">
        <w:t xml:space="preserve">RR. </w:t>
      </w:r>
      <w:r w:rsidR="004A1FD1" w:rsidRPr="00577C8A">
        <w:rPr>
          <w:i/>
          <w:iCs/>
        </w:rPr>
        <w:t xml:space="preserve">Under review. </w:t>
      </w:r>
      <w:r w:rsidR="004A1FD1">
        <w:t xml:space="preserve">[Preprint available at </w:t>
      </w:r>
      <w:r w:rsidRPr="00577C8A">
        <w:t>https://doi.org/10.26434/chemrxiv.10001713/v2</w:t>
      </w:r>
      <w:r>
        <w:t>]</w:t>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A1372"/>
    <w:multiLevelType w:val="hybridMultilevel"/>
    <w:tmpl w:val="CA5E07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8640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1B4FEE"/>
    <w:rsid w:val="002A6AE0"/>
    <w:rsid w:val="002B7B71"/>
    <w:rsid w:val="00325004"/>
    <w:rsid w:val="004A1FD1"/>
    <w:rsid w:val="00536366"/>
    <w:rsid w:val="00577C8A"/>
    <w:rsid w:val="00580622"/>
    <w:rsid w:val="00685C1A"/>
    <w:rsid w:val="007B294E"/>
    <w:rsid w:val="009631C7"/>
    <w:rsid w:val="00C64B46"/>
    <w:rsid w:val="00DF683D"/>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57A9A5"/>
  <w14:defaultImageDpi w14:val="300"/>
  <w15:docId w15:val="{97FE150A-79E5-DA4B-A12C-F818A1212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9631C7"/>
    <w:pPr>
      <w:widowControl/>
    </w:pPr>
    <w:rPr>
      <w:snapToGrid/>
      <w:color w:val="000000"/>
      <w:sz w:val="17"/>
      <w:szCs w:val="17"/>
      <w:lang w:val="en-ES" w:eastAsia="en-GB"/>
    </w:rPr>
  </w:style>
  <w:style w:type="paragraph" w:customStyle="1" w:styleId="p2">
    <w:name w:val="p2"/>
    <w:basedOn w:val="Normal"/>
    <w:rsid w:val="009631C7"/>
    <w:pPr>
      <w:widowControl/>
    </w:pPr>
    <w:rPr>
      <w:rFonts w:ascii="Helvetica" w:hAnsi="Helvetica"/>
      <w:snapToGrid/>
      <w:color w:val="000000"/>
      <w:sz w:val="16"/>
      <w:szCs w:val="16"/>
      <w:lang w:val="en-ES" w:eastAsia="en-GB"/>
    </w:rPr>
  </w:style>
  <w:style w:type="paragraph" w:customStyle="1" w:styleId="p3">
    <w:name w:val="p3"/>
    <w:basedOn w:val="Normal"/>
    <w:rsid w:val="009631C7"/>
    <w:pPr>
      <w:widowControl/>
    </w:pPr>
    <w:rPr>
      <w:rFonts w:ascii="Helvetica" w:hAnsi="Helvetica"/>
      <w:snapToGrid/>
      <w:color w:val="000000"/>
      <w:sz w:val="14"/>
      <w:szCs w:val="14"/>
      <w:lang w:val="en-ES" w:eastAsia="en-GB"/>
    </w:rPr>
  </w:style>
  <w:style w:type="character" w:customStyle="1" w:styleId="s1">
    <w:name w:val="s1"/>
    <w:basedOn w:val="DefaultParagraphFont"/>
    <w:rsid w:val="009631C7"/>
    <w:rPr>
      <w:rFonts w:ascii="Times New Roman" w:hAnsi="Times New Roman" w:cs="Times New Roman" w:hint="default"/>
      <w:sz w:val="11"/>
      <w:szCs w:val="11"/>
    </w:rPr>
  </w:style>
  <w:style w:type="character" w:customStyle="1" w:styleId="s2">
    <w:name w:val="s2"/>
    <w:basedOn w:val="DefaultParagraphFont"/>
    <w:rsid w:val="009631C7"/>
    <w:rPr>
      <w:rFonts w:ascii="Helvetica" w:hAnsi="Helvetica" w:hint="default"/>
      <w:sz w:val="8"/>
      <w:szCs w:val="8"/>
    </w:rPr>
  </w:style>
  <w:style w:type="paragraph" w:styleId="ListParagraph">
    <w:name w:val="List Paragraph"/>
    <w:basedOn w:val="Normal"/>
    <w:uiPriority w:val="34"/>
    <w:qFormat/>
    <w:rsid w:val="004A1F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Daniel Sinausía</cp:lastModifiedBy>
  <cp:revision>5</cp:revision>
  <cp:lastPrinted>2013-10-21T12:07:00Z</cp:lastPrinted>
  <dcterms:created xsi:type="dcterms:W3CDTF">2026-05-28T13:55:00Z</dcterms:created>
  <dcterms:modified xsi:type="dcterms:W3CDTF">2026-05-28T14:24:00Z</dcterms:modified>
</cp:coreProperties>
</file>