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rPr>
      </w:pPr>
      <w:r>
        <w:rPr>
          <w:b/>
          <w:sz w:val="28"/>
        </w:rPr>
        <w:t>Accelerated Simulations of NiOOH/LDH Electrocatalysts for Alkaline Electrochemical Technologies Using Machine Learning Interatomic Potentials</w:t>
      </w:r>
    </w:p>
    <w:p>
      <w:pPr>
        <w:pStyle w:val="Normal"/>
        <w:jc w:val="center"/>
        <w:rPr>
          <w:b/>
          <w:sz w:val="28"/>
        </w:rPr>
      </w:pPr>
      <w:r>
        <w:rPr>
          <w:b/>
          <w:sz w:val="28"/>
        </w:rPr>
      </w:r>
    </w:p>
    <w:p>
      <w:pPr>
        <w:pStyle w:val="Normal"/>
        <w:jc w:val="center"/>
        <w:rPr/>
      </w:pPr>
      <w:r>
        <w:rPr/>
        <w:t>Maryam Abdizadeh1 , Nong Artrith2, Piotr M. Kowalski1</w:t>
      </w:r>
    </w:p>
    <w:p>
      <w:pPr>
        <w:pStyle w:val="Normal"/>
        <w:jc w:val="center"/>
        <w:rPr/>
      </w:pPr>
      <w:r>
        <w:rPr/>
        <w:t>1.Theory and Computation of Energy Materials (IET-3), Institute of Energy Technologies, Forschungszentrum Jülich, Wilhelm-Johnen-Straße, 52425 Jülich, Germany</w:t>
      </w:r>
    </w:p>
    <w:p>
      <w:pPr>
        <w:pStyle w:val="Normal"/>
        <w:jc w:val="center"/>
        <w:rPr/>
      </w:pPr>
      <w:r>
        <w:rPr/>
        <w:t>2. Debye Institute for Nanomaterials Science, Utrecht University, Netherlands.</w:t>
      </w:r>
    </w:p>
    <w:p>
      <w:pPr>
        <w:pStyle w:val="Normal"/>
        <w:jc w:val="center"/>
        <w:rPr/>
      </w:pPr>
      <w:r>
        <w:rPr/>
        <w:t xml:space="preserve">Email: </w:t>
      </w:r>
      <w:hyperlink r:id="rId2">
        <w:r>
          <w:rPr>
            <w:rStyle w:val="Hyperlink"/>
          </w:rPr>
          <w:t>m.abdizadeh@fz-juelich.de</w:t>
        </w:r>
      </w:hyperlink>
      <w:hyperlink r:id="rId3">
        <w:r>
          <w:rPr/>
          <w:t xml:space="preserve"> , </w:t>
        </w:r>
      </w:hyperlink>
      <w:hyperlink r:id="rId4">
        <w:r>
          <w:rPr>
            <w:rStyle w:val="Hyperlink"/>
          </w:rPr>
          <w:t>n.artrith@uu.nl</w:t>
        </w:r>
      </w:hyperlink>
      <w:hyperlink r:id="rId5">
        <w:r>
          <w:rPr/>
          <w:t xml:space="preserve">,  </w:t>
        </w:r>
      </w:hyperlink>
      <w:hyperlink r:id="rId7">
        <w:r>
          <w:rPr>
            <w:rStyle w:val="Hyperlink"/>
          </w:rPr>
          <w:t>p.kowalski@fz-juelich.de</w:t>
        </w:r>
      </w:hyperlink>
    </w:p>
    <w:p>
      <w:pPr>
        <w:pStyle w:val="Normal"/>
        <w:jc w:val="center"/>
        <w:rPr/>
      </w:pPr>
      <w:r>
        <w:rPr/>
      </w:r>
    </w:p>
    <w:p>
      <w:pPr>
        <w:pStyle w:val="Normal"/>
        <w:jc w:val="both"/>
        <w:rPr/>
      </w:pPr>
      <w:r>
        <w:rPr/>
        <w:t>Machine learning interatomic potentials (MLIPs) are transforming atomistic simulations by enabling large-scale molecular dynamics (MD) with near-DFT accuracy at a fraction of the computational cost. In alkaline water electrolysis, the oxygen evolution reaction (OER) remains a critical performance bottleneck due to its complex four-electron transfer mechanism and the limited availability of efficient catalyst materials. Earth-abundant NiOOH-based catalysts have emerged as promising alternatives, yet fundamental questions remain regarding oxidation states, active sites, and the influence of dopants and explicit interfacial water. We employ the DeePMD neural network framework to develop a DFT-accurate MLIP trained on state-of-the-art first-principles data, enabling realistic simulations of OER kinetics at NiOOH/layered double hydroxide (LDH) interfaces under aqueous conditions. We will present our first simulations of OER on Fe-, Co-, and Mn-doped NiOOH surfaces. Ultimately, this work aims to combine MLIP with well-tempered metadynamics to map the complete OER free-energy landscape, reveal reaction kinetics, and uncover competing catalytic pathways that govern performance.</w:t>
      </w:r>
    </w:p>
    <w:p>
      <w:pPr>
        <w:pStyle w:val="Normal"/>
        <w:jc w:val="both"/>
        <w:rPr/>
      </w:pPr>
      <w:r>
        <w:rPr/>
      </w:r>
    </w:p>
    <w:p>
      <w:pPr>
        <w:pStyle w:val="Normal"/>
        <w:jc w:val="both"/>
        <w:rPr>
          <w:b/>
        </w:rPr>
      </w:pPr>
      <w:r>
        <w:rPr/>
      </w:r>
    </w:p>
    <w:p>
      <w:pPr>
        <w:pStyle w:val="Normal"/>
        <w:jc w:val="both"/>
        <w:rPr/>
      </w:pPr>
      <w:r>
        <w:rPr/>
      </w:r>
    </w:p>
    <w:p>
      <w:pPr>
        <w:pStyle w:val="Normal"/>
        <w:jc w:val="both"/>
        <w:rPr/>
      </w:pPr>
      <w:r>
        <w:rPr/>
      </w:r>
    </w:p>
    <w:p>
      <w:pPr>
        <w:pStyle w:val="Normal"/>
        <w:jc w:val="both"/>
        <w:rPr/>
      </w:pPr>
      <w:r>
        <w:rPr/>
      </w:r>
    </w:p>
    <w:sectPr>
      <w:type w:val="nextPage"/>
      <w:pgSz w:w="11906" w:h="16838"/>
      <w:pgMar w:left="1701" w:right="1701" w:gutter="0" w:header="0" w:top="1701" w:footer="0" w:bottom="1701"/>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20"/>
  <w:autoHyphenation w:val="true"/>
  <w:doNotHyphenateCap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0716d"/>
    <w:pPr>
      <w:widowControl w:val="false"/>
      <w:suppressAutoHyphens w:val="true"/>
      <w:bidi w:val="0"/>
      <w:spacing w:before="0" w:after="0"/>
      <w:jc w:val="left"/>
    </w:pPr>
    <w:rPr>
      <w:rFonts w:ascii="Times New Roman" w:hAnsi="Times New Roman" w:eastAsia="Times New Roman" w:cs="Times New Roman"/>
      <w:color w:val="auto"/>
      <w:kern w:val="0"/>
      <w:sz w:val="20"/>
      <w:szCs w:val="20"/>
      <w:lang w:val="en-US" w:eastAsia="en-US" w:bidi="ar-SA"/>
    </w:rPr>
  </w:style>
  <w:style w:type="character" w:styleId="DefaultParagraphFont" w:default="1">
    <w:name w:val="Default Paragraph Font"/>
    <w:semiHidden/>
    <w:qFormat/>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numbering" w:styleId="NoList" w:default="1">
    <w:name w:val="No List"/>
    <w:semiHidden/>
    <w:qFormat/>
  </w:style>
  <w:style w:type="table" w:default="1" w:styleId="TableNormal">
    <w:name w:val="Normal Table"/>
    <w:semiHidden/>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m.abdizadeh@fz-juelich.de" TargetMode="External"/><Relationship Id="rId3" Type="http://schemas.openxmlformats.org/officeDocument/2006/relationships/hyperlink" Target="" TargetMode="External"/><Relationship Id="rId4" Type="http://schemas.openxmlformats.org/officeDocument/2006/relationships/hyperlink" Target="mailto:n.artrith@uu.nl" TargetMode="External"/><Relationship Id="rId5" Type="http://schemas.openxmlformats.org/officeDocument/2006/relationships/hyperlink" Target="" TargetMode="External"/><Relationship Id="rId6" Type="http://schemas.openxmlformats.org/officeDocument/2006/relationships/hyperlink" Target="mailto:p.kowalski@fz-juelich.de" TargetMode="External"/><Relationship Id="rId7" Type="http://schemas.openxmlformats.org/officeDocument/2006/relationships/hyperlink" Target="" TargetMode="Externa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TotalTime>
  <Application>LibreOffice/24.2.7.2$Linux_X86_64 LibreOffice_project/420$Build-2</Application>
  <AppVersion>15.0000</AppVersion>
  <Pages>1</Pages>
  <Words>208</Words>
  <Characters>1492</Characters>
  <CharactersWithSpaces>1695</CharactersWithSpaces>
  <Paragraphs>6</Paragraphs>
  <Company>Electrochemical Society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2021-03-10T13:20:00Z</dcterms:created>
  <dc:creator>Electrochemical</dc:creator>
  <dc:description/>
  <dc:language>en-US</dc:language>
  <cp:lastModifiedBy/>
  <cp:lastPrinted>2013-10-21T12:07:00Z</cp:lastPrinted>
  <dcterms:modified xsi:type="dcterms:W3CDTF">2026-05-30T13:46:04Z</dcterms:modified>
  <cp:revision>3</cp:revision>
  <dc:subject/>
  <dc:title>Title</dc:title>
</cp:coreProperties>
</file>

<file path=docProps/custom.xml><?xml version="1.0" encoding="utf-8"?>
<Properties xmlns="http://schemas.openxmlformats.org/officeDocument/2006/custom-properties" xmlns:vt="http://schemas.openxmlformats.org/officeDocument/2006/docPropsVTypes"/>
</file>