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355E5" w14:textId="59B6F64D" w:rsidR="00DF5875" w:rsidRPr="00876C54" w:rsidRDefault="00DF5875" w:rsidP="00DF5875">
      <w:pPr>
        <w:jc w:val="center"/>
        <w:rPr>
          <w:b/>
          <w:bCs/>
          <w:sz w:val="28"/>
          <w:szCs w:val="28"/>
          <w:lang w:val="en-GB"/>
        </w:rPr>
      </w:pPr>
      <w:r w:rsidRPr="00876C54">
        <w:rPr>
          <w:b/>
          <w:bCs/>
          <w:i/>
          <w:iCs/>
          <w:sz w:val="28"/>
          <w:szCs w:val="28"/>
          <w:lang w:val="en-GB"/>
        </w:rPr>
        <w:t>Operando</w:t>
      </w:r>
      <w:r w:rsidRPr="00876C54">
        <w:rPr>
          <w:b/>
          <w:bCs/>
          <w:sz w:val="28"/>
          <w:szCs w:val="28"/>
          <w:lang w:val="en-GB"/>
        </w:rPr>
        <w:t xml:space="preserve"> Small-Angle X-Ray Scattering (SAXS) o</w:t>
      </w:r>
      <w:r>
        <w:rPr>
          <w:b/>
          <w:bCs/>
          <w:sz w:val="28"/>
          <w:szCs w:val="28"/>
          <w:lang w:val="en-GB"/>
        </w:rPr>
        <w:t>n</w:t>
      </w:r>
      <w:r w:rsidRPr="00876C54">
        <w:rPr>
          <w:b/>
          <w:bCs/>
          <w:sz w:val="28"/>
          <w:szCs w:val="28"/>
          <w:lang w:val="en-GB"/>
        </w:rPr>
        <w:t xml:space="preserve"> Proton Exchange Membrane Fuel Cell</w:t>
      </w:r>
      <w:r>
        <w:rPr>
          <w:b/>
          <w:bCs/>
          <w:sz w:val="28"/>
          <w:szCs w:val="28"/>
          <w:lang w:val="en-GB"/>
        </w:rPr>
        <w:t>s</w:t>
      </w:r>
      <w:r w:rsidRPr="00876C54">
        <w:rPr>
          <w:b/>
          <w:bCs/>
          <w:sz w:val="28"/>
          <w:szCs w:val="28"/>
          <w:lang w:val="en-GB"/>
        </w:rPr>
        <w:t xml:space="preserve"> (PEMFC)</w:t>
      </w:r>
    </w:p>
    <w:p w14:paraId="326FB666" w14:textId="77777777" w:rsidR="00325004" w:rsidRPr="00DF5875" w:rsidRDefault="00325004" w:rsidP="00E0716D">
      <w:pPr>
        <w:jc w:val="center"/>
        <w:rPr>
          <w:b/>
          <w:sz w:val="28"/>
          <w:lang w:val="en-GB"/>
        </w:rPr>
      </w:pPr>
    </w:p>
    <w:p w14:paraId="20F38287" w14:textId="01F2DEC5" w:rsidR="00DF5875" w:rsidRPr="009C152E" w:rsidRDefault="00DF5875" w:rsidP="00DF5875">
      <w:pPr>
        <w:jc w:val="center"/>
        <w:rPr>
          <w:i/>
          <w:iCs/>
          <w:lang w:val="fr-FR"/>
        </w:rPr>
      </w:pPr>
      <w:r w:rsidRPr="00DF5875">
        <w:rPr>
          <w:i/>
          <w:iCs/>
          <w:u w:val="single"/>
          <w:lang w:val="fr-FR"/>
        </w:rPr>
        <w:t>Clément Seron</w:t>
      </w:r>
      <w:r w:rsidRPr="00DF5875">
        <w:rPr>
          <w:i/>
          <w:iCs/>
          <w:vertAlign w:val="superscript"/>
          <w:lang w:val="fr-FR"/>
        </w:rPr>
        <w:t>1</w:t>
      </w:r>
      <w:r w:rsidRPr="00DF5875">
        <w:rPr>
          <w:i/>
          <w:iCs/>
          <w:lang w:val="fr-FR"/>
        </w:rPr>
        <w:t>, Sandrine Lyonnard</w:t>
      </w:r>
      <w:r w:rsidRPr="00DF5875">
        <w:rPr>
          <w:i/>
          <w:iCs/>
          <w:vertAlign w:val="superscript"/>
          <w:lang w:val="fr-FR"/>
        </w:rPr>
        <w:t>1</w:t>
      </w:r>
      <w:r w:rsidRPr="00DF5875">
        <w:rPr>
          <w:i/>
          <w:iCs/>
          <w:lang w:val="fr-FR"/>
        </w:rPr>
        <w:t>, Frédéric Maillard</w:t>
      </w:r>
      <w:r w:rsidRPr="00DF5875">
        <w:rPr>
          <w:i/>
          <w:iCs/>
          <w:vertAlign w:val="superscript"/>
          <w:lang w:val="fr-FR"/>
        </w:rPr>
        <w:t>2</w:t>
      </w:r>
      <w:r>
        <w:rPr>
          <w:i/>
          <w:iCs/>
          <w:lang w:val="fr-FR"/>
        </w:rPr>
        <w:t>, Pierre Toudret</w:t>
      </w:r>
      <w:r w:rsidRPr="00DF5875">
        <w:rPr>
          <w:i/>
          <w:iCs/>
          <w:vertAlign w:val="superscript"/>
          <w:lang w:val="fr-FR"/>
        </w:rPr>
        <w:t>3</w:t>
      </w:r>
      <w:r>
        <w:rPr>
          <w:i/>
          <w:iCs/>
          <w:lang w:val="fr-FR"/>
        </w:rPr>
        <w:t>, Beno</w:t>
      </w:r>
      <w:r w:rsidR="008704B3">
        <w:rPr>
          <w:i/>
          <w:iCs/>
          <w:lang w:val="fr-FR"/>
        </w:rPr>
        <w:t>î</w:t>
      </w:r>
      <w:r>
        <w:rPr>
          <w:i/>
          <w:iCs/>
          <w:lang w:val="fr-FR"/>
        </w:rPr>
        <w:t>t Gouze</w:t>
      </w:r>
      <w:r w:rsidRPr="00DF5875">
        <w:rPr>
          <w:i/>
          <w:iCs/>
          <w:vertAlign w:val="superscript"/>
          <w:lang w:val="fr-FR"/>
        </w:rPr>
        <w:t>3</w:t>
      </w:r>
      <w:r w:rsidR="009C152E">
        <w:rPr>
          <w:i/>
          <w:iCs/>
          <w:lang w:val="fr-FR"/>
        </w:rPr>
        <w:t xml:space="preserve">, </w:t>
      </w:r>
      <w:r w:rsidR="009C152E" w:rsidRPr="00DF5875">
        <w:rPr>
          <w:i/>
          <w:iCs/>
          <w:lang w:val="fr-FR"/>
        </w:rPr>
        <w:t>Arnaud Morin</w:t>
      </w:r>
      <w:r w:rsidR="009C152E" w:rsidRPr="00DF5875">
        <w:rPr>
          <w:i/>
          <w:iCs/>
          <w:vertAlign w:val="superscript"/>
          <w:lang w:val="fr-FR"/>
        </w:rPr>
        <w:t>3</w:t>
      </w:r>
    </w:p>
    <w:p w14:paraId="0A0E8DA6" w14:textId="618F5458" w:rsidR="007E126A" w:rsidRPr="007E126A" w:rsidRDefault="007E126A" w:rsidP="007E126A">
      <w:pPr>
        <w:pStyle w:val="Paragraphedeliste"/>
        <w:numPr>
          <w:ilvl w:val="0"/>
          <w:numId w:val="1"/>
        </w:numPr>
        <w:jc w:val="center"/>
        <w:rPr>
          <w:rFonts w:ascii="Times New Roman" w:hAnsi="Times New Roman" w:cs="Times New Roman"/>
          <w:sz w:val="20"/>
          <w:szCs w:val="20"/>
        </w:rPr>
      </w:pPr>
      <w:r w:rsidRPr="007E126A">
        <w:rPr>
          <w:rFonts w:ascii="Times New Roman" w:hAnsi="Times New Roman" w:cs="Times New Roman"/>
          <w:sz w:val="20"/>
          <w:szCs w:val="20"/>
        </w:rPr>
        <w:t xml:space="preserve">Univ. Grenoble Alpes, CEA IRIG, </w:t>
      </w:r>
      <w:proofErr w:type="spellStart"/>
      <w:r w:rsidRPr="007E126A">
        <w:rPr>
          <w:rFonts w:ascii="Times New Roman" w:hAnsi="Times New Roman" w:cs="Times New Roman"/>
          <w:sz w:val="20"/>
          <w:szCs w:val="20"/>
        </w:rPr>
        <w:t>SyMMES</w:t>
      </w:r>
      <w:proofErr w:type="spellEnd"/>
      <w:r w:rsidRPr="007E126A">
        <w:rPr>
          <w:rFonts w:ascii="Times New Roman" w:hAnsi="Times New Roman" w:cs="Times New Roman"/>
          <w:sz w:val="20"/>
          <w:szCs w:val="20"/>
        </w:rPr>
        <w:t>, 3800</w:t>
      </w:r>
      <w:r w:rsidR="009262F7">
        <w:rPr>
          <w:rFonts w:ascii="Times New Roman" w:hAnsi="Times New Roman" w:cs="Times New Roman"/>
          <w:sz w:val="20"/>
          <w:szCs w:val="20"/>
        </w:rPr>
        <w:t>0</w:t>
      </w:r>
      <w:r w:rsidRPr="007E126A">
        <w:rPr>
          <w:rFonts w:ascii="Times New Roman" w:hAnsi="Times New Roman" w:cs="Times New Roman"/>
          <w:sz w:val="20"/>
          <w:szCs w:val="20"/>
        </w:rPr>
        <w:t xml:space="preserve"> Grenoble</w:t>
      </w:r>
    </w:p>
    <w:p w14:paraId="6B5CC2D0" w14:textId="77777777" w:rsidR="007E126A" w:rsidRPr="007E126A" w:rsidRDefault="007E126A" w:rsidP="007E126A">
      <w:pPr>
        <w:pStyle w:val="Paragraphedeliste"/>
        <w:numPr>
          <w:ilvl w:val="0"/>
          <w:numId w:val="1"/>
        </w:numPr>
        <w:jc w:val="center"/>
        <w:rPr>
          <w:rFonts w:ascii="Times New Roman" w:hAnsi="Times New Roman" w:cs="Times New Roman"/>
          <w:sz w:val="20"/>
          <w:szCs w:val="20"/>
          <w:lang w:val="en-GB"/>
        </w:rPr>
      </w:pPr>
      <w:r w:rsidRPr="007E126A">
        <w:rPr>
          <w:rFonts w:ascii="Times New Roman" w:hAnsi="Times New Roman" w:cs="Times New Roman"/>
          <w:sz w:val="20"/>
          <w:szCs w:val="20"/>
          <w:lang w:val="en-GB"/>
        </w:rPr>
        <w:t>Univ. Grenoble Alpes, LEPMI, 38000 Grenoble</w:t>
      </w:r>
    </w:p>
    <w:p w14:paraId="60AA9787" w14:textId="77777777" w:rsidR="007E126A" w:rsidRPr="007E126A" w:rsidRDefault="007E126A" w:rsidP="007E126A">
      <w:pPr>
        <w:pStyle w:val="Paragraphedeliste"/>
        <w:numPr>
          <w:ilvl w:val="0"/>
          <w:numId w:val="1"/>
        </w:numPr>
        <w:jc w:val="center"/>
        <w:rPr>
          <w:rFonts w:ascii="Times New Roman" w:hAnsi="Times New Roman" w:cs="Times New Roman"/>
          <w:lang w:val="en-GB"/>
        </w:rPr>
      </w:pPr>
      <w:r w:rsidRPr="007E126A">
        <w:rPr>
          <w:rFonts w:ascii="Times New Roman" w:hAnsi="Times New Roman" w:cs="Times New Roman"/>
          <w:sz w:val="20"/>
          <w:szCs w:val="20"/>
          <w:lang w:val="en-GB"/>
        </w:rPr>
        <w:t>Univ. Grenoble Alpes, CEA LITEN, 38000 Grenoble</w:t>
      </w:r>
    </w:p>
    <w:p w14:paraId="2D2CCD10" w14:textId="7D7541A0" w:rsidR="00325004" w:rsidRPr="00BA6F12" w:rsidRDefault="007E126A" w:rsidP="00E0716D">
      <w:pPr>
        <w:jc w:val="center"/>
        <w:rPr>
          <w:iCs/>
          <w:lang w:val="fr-FR"/>
        </w:rPr>
      </w:pPr>
      <w:r w:rsidRPr="00BA6F12">
        <w:rPr>
          <w:iCs/>
          <w:lang w:val="fr-FR"/>
        </w:rPr>
        <w:t>17 Avenue des Martyrs, 38000 Grenoble</w:t>
      </w:r>
    </w:p>
    <w:p w14:paraId="2AC3AEEA" w14:textId="452C7880" w:rsidR="00685C1A" w:rsidRPr="00BA6F12" w:rsidRDefault="007E126A" w:rsidP="00E0716D">
      <w:pPr>
        <w:jc w:val="center"/>
        <w:rPr>
          <w:i/>
          <w:lang w:val="fr-FR"/>
        </w:rPr>
      </w:pPr>
      <w:r w:rsidRPr="00BA6F12">
        <w:rPr>
          <w:i/>
          <w:lang w:val="fr-FR"/>
        </w:rPr>
        <w:t>Clement.sero</w:t>
      </w:r>
      <w:r w:rsidR="00BA6F12" w:rsidRPr="00BA6F12">
        <w:rPr>
          <w:i/>
          <w:lang w:val="fr-FR"/>
        </w:rPr>
        <w:t>n</w:t>
      </w:r>
      <w:r w:rsidRPr="00BA6F12">
        <w:rPr>
          <w:i/>
          <w:lang w:val="fr-FR"/>
        </w:rPr>
        <w:t>@cea.fr</w:t>
      </w:r>
    </w:p>
    <w:p w14:paraId="301A0127" w14:textId="77777777" w:rsidR="00325004" w:rsidRPr="00BA6F12" w:rsidRDefault="00325004" w:rsidP="00E0716D">
      <w:pPr>
        <w:jc w:val="center"/>
        <w:rPr>
          <w:lang w:val="fr-FR"/>
        </w:rPr>
      </w:pPr>
    </w:p>
    <w:p w14:paraId="5168B396" w14:textId="77777777" w:rsidR="007E126A" w:rsidRPr="00876C54" w:rsidRDefault="007E126A" w:rsidP="00BA6F12">
      <w:pPr>
        <w:ind w:firstLine="720"/>
        <w:jc w:val="both"/>
        <w:rPr>
          <w:lang w:val="en-GB"/>
        </w:rPr>
      </w:pPr>
      <w:r w:rsidRPr="00876C54">
        <w:rPr>
          <w:lang w:val="en-GB"/>
        </w:rPr>
        <w:t>The hydrogen sector, crucial for decarbonisation, is experiencing rapid growth particularly in the deployment of low-temperature proton exchange membrane fuel cells (PEMFCs) for transport applications across Europe. The core of a PEMFC is the membrane electrode assembly (MEA), which consists of platinum or platinum-alloy nanoparticles supported on carbon, combined with a PFSA-based ionomer in the electrodes, along with a PFSA membrane. These components are prone to degradation, which limits the efficiency and durability of PEMFCs. However, the degradation mechanisms affecting these critical components under realistic operating conditions remain poorly understood.</w:t>
      </w:r>
    </w:p>
    <w:p w14:paraId="38BE5C3B" w14:textId="11214969" w:rsidR="007E126A" w:rsidRPr="00876C54" w:rsidRDefault="007E126A" w:rsidP="009250AB">
      <w:pPr>
        <w:ind w:firstLine="720"/>
        <w:jc w:val="both"/>
        <w:rPr>
          <w:lang w:val="en-GB"/>
        </w:rPr>
      </w:pPr>
      <w:r w:rsidRPr="00876C54">
        <w:rPr>
          <w:lang w:val="en-GB"/>
        </w:rPr>
        <w:t xml:space="preserve">This work investigates the structural evolution of the membrane, </w:t>
      </w:r>
      <w:r w:rsidR="006F4CE0">
        <w:rPr>
          <w:lang w:val="en-GB"/>
        </w:rPr>
        <w:t xml:space="preserve">the </w:t>
      </w:r>
      <w:r w:rsidRPr="00876C54">
        <w:rPr>
          <w:lang w:val="en-GB"/>
        </w:rPr>
        <w:t xml:space="preserve">anode, and </w:t>
      </w:r>
      <w:r w:rsidR="006F4CE0">
        <w:rPr>
          <w:lang w:val="en-GB"/>
        </w:rPr>
        <w:t xml:space="preserve">the </w:t>
      </w:r>
      <w:r w:rsidRPr="00876C54">
        <w:rPr>
          <w:lang w:val="en-GB"/>
        </w:rPr>
        <w:t xml:space="preserve">cathode under </w:t>
      </w:r>
      <w:r w:rsidRPr="00876C54">
        <w:rPr>
          <w:i/>
          <w:iCs/>
          <w:lang w:val="en-GB"/>
        </w:rPr>
        <w:t>operando</w:t>
      </w:r>
      <w:r w:rsidRPr="00876C54">
        <w:rPr>
          <w:lang w:val="en-GB"/>
        </w:rPr>
        <w:t xml:space="preserve"> conditions using </w:t>
      </w:r>
      <w:r w:rsidR="005D1A6F" w:rsidRPr="00876C54">
        <w:rPr>
          <w:lang w:val="en-GB"/>
        </w:rPr>
        <w:t>micro focused</w:t>
      </w:r>
      <w:r w:rsidRPr="00876C54">
        <w:rPr>
          <w:lang w:val="en-GB"/>
        </w:rPr>
        <w:t xml:space="preserve"> SAXS/WAXS. A specially designed cell enables experiment at temperatures up to 95°C. The study monitors changes in the membrane’s nano- and semi-crystalline structure, the platinum catalyst, and the humidity-dependent ionomer nanostructure, with differentiation between rib and channel regions. </w:t>
      </w:r>
      <w:r w:rsidR="00885568" w:rsidRPr="00885568">
        <w:rPr>
          <w:lang w:val="en-GB"/>
        </w:rPr>
        <w:t>To bridge this gap, this study provides the first simultaneous investigation into the structural evolution of both the membrane and the electrodes under operating conditions. More specifically, we reveal how the ionomer structure within the electrodes relates to electrochemical performance under high temperature and varying humidity</w:t>
      </w:r>
      <w:r w:rsidR="00885568">
        <w:rPr>
          <w:lang w:val="en-GB"/>
        </w:rPr>
        <w:t xml:space="preserve">, </w:t>
      </w:r>
      <w:r w:rsidR="00885568" w:rsidRPr="00885568">
        <w:rPr>
          <w:lang w:val="en-GB"/>
        </w:rPr>
        <w:t>an insight that has not yet been reported in the literature</w:t>
      </w:r>
      <w:r w:rsidRPr="00876C54">
        <w:rPr>
          <w:lang w:val="en-GB"/>
        </w:rPr>
        <w:t xml:space="preserve">. </w:t>
      </w:r>
    </w:p>
    <w:p w14:paraId="5B0DA287" w14:textId="61982CAF" w:rsidR="009250AB" w:rsidRPr="00EC7E59" w:rsidRDefault="00885568" w:rsidP="009250AB">
      <w:pPr>
        <w:pStyle w:val="Bibliographie"/>
        <w:ind w:firstLine="720"/>
        <w:jc w:val="both"/>
        <w:rPr>
          <w:szCs w:val="24"/>
          <w:lang w:val="en-GB"/>
        </w:rPr>
      </w:pPr>
      <w:r w:rsidRPr="00876C54">
        <w:rPr>
          <w:noProof/>
        </w:rPr>
        <mc:AlternateContent>
          <mc:Choice Requires="wps">
            <w:drawing>
              <wp:anchor distT="0" distB="0" distL="114300" distR="114300" simplePos="0" relativeHeight="251657216" behindDoc="0" locked="0" layoutInCell="1" allowOverlap="1" wp14:anchorId="67290A64" wp14:editId="25F717E2">
                <wp:simplePos x="0" y="0"/>
                <wp:positionH relativeFrom="margin">
                  <wp:align>right</wp:align>
                </wp:positionH>
                <wp:positionV relativeFrom="paragraph">
                  <wp:posOffset>3266472</wp:posOffset>
                </wp:positionV>
                <wp:extent cx="5232400" cy="635"/>
                <wp:effectExtent l="0" t="0" r="6350" b="5080"/>
                <wp:wrapTopAndBottom/>
                <wp:docPr id="1" name="Zone de texte 1"/>
                <wp:cNvGraphicFramePr/>
                <a:graphic xmlns:a="http://schemas.openxmlformats.org/drawingml/2006/main">
                  <a:graphicData uri="http://schemas.microsoft.com/office/word/2010/wordprocessingShape">
                    <wps:wsp>
                      <wps:cNvSpPr txBox="1"/>
                      <wps:spPr>
                        <a:xfrm>
                          <a:off x="0" y="0"/>
                          <a:ext cx="5232400" cy="635"/>
                        </a:xfrm>
                        <a:prstGeom prst="rect">
                          <a:avLst/>
                        </a:prstGeom>
                        <a:solidFill>
                          <a:prstClr val="white"/>
                        </a:solidFill>
                        <a:ln>
                          <a:noFill/>
                        </a:ln>
                      </wps:spPr>
                      <wps:txbx>
                        <w:txbxContent>
                          <w:p w14:paraId="4E235C27" w14:textId="27416A9C" w:rsidR="007E126A" w:rsidRPr="00094B0F" w:rsidRDefault="007E126A" w:rsidP="007E126A">
                            <w:pPr>
                              <w:pStyle w:val="Lgende"/>
                              <w:jc w:val="center"/>
                              <w:rPr>
                                <w:lang w:val="en-GB"/>
                              </w:rPr>
                            </w:pPr>
                            <w:r w:rsidRPr="00094B0F">
                              <w:rPr>
                                <w:b/>
                                <w:bCs/>
                                <w:lang w:val="en-GB"/>
                              </w:rPr>
                              <w:t xml:space="preserve">Figure </w:t>
                            </w:r>
                            <w:r w:rsidRPr="004E23E3">
                              <w:rPr>
                                <w:b/>
                                <w:bCs/>
                              </w:rPr>
                              <w:fldChar w:fldCharType="begin"/>
                            </w:r>
                            <w:r w:rsidRPr="00094B0F">
                              <w:rPr>
                                <w:b/>
                                <w:bCs/>
                                <w:lang w:val="en-GB"/>
                              </w:rPr>
                              <w:instrText xml:space="preserve"> SEQ Figure \* ARABIC </w:instrText>
                            </w:r>
                            <w:r w:rsidRPr="004E23E3">
                              <w:rPr>
                                <w:b/>
                                <w:bCs/>
                              </w:rPr>
                              <w:fldChar w:fldCharType="separate"/>
                            </w:r>
                            <w:r w:rsidR="0069715C">
                              <w:rPr>
                                <w:b/>
                                <w:bCs/>
                                <w:noProof/>
                                <w:lang w:val="en-GB"/>
                              </w:rPr>
                              <w:t>1</w:t>
                            </w:r>
                            <w:r w:rsidRPr="004E23E3">
                              <w:rPr>
                                <w:b/>
                                <w:bCs/>
                              </w:rPr>
                              <w:fldChar w:fldCharType="end"/>
                            </w:r>
                            <w:r w:rsidRPr="00094B0F">
                              <w:rPr>
                                <w:lang w:val="en-GB"/>
                              </w:rPr>
                              <w:t xml:space="preserve"> : SAXS profiles of </w:t>
                            </w:r>
                            <w:proofErr w:type="spellStart"/>
                            <w:r w:rsidRPr="00094B0F">
                              <w:rPr>
                                <w:lang w:val="en-GB"/>
                              </w:rPr>
                              <w:t>Nafion</w:t>
                            </w:r>
                            <w:proofErr w:type="spellEnd"/>
                            <w:r w:rsidRPr="00094B0F">
                              <w:rPr>
                                <w:lang w:val="en-GB"/>
                              </w:rPr>
                              <w:t xml:space="preserve"> membrane comparison between in-situ references and operando (left) and same wi</w:t>
                            </w:r>
                            <w:r w:rsidR="0007178F">
                              <w:rPr>
                                <w:lang w:val="en-GB"/>
                              </w:rPr>
                              <w:t>t</w:t>
                            </w:r>
                            <w:r w:rsidRPr="00094B0F">
                              <w:rPr>
                                <w:lang w:val="en-GB"/>
                              </w:rPr>
                              <w:t>hin the cathode catalyst layer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7290A64" id="_x0000_t202" coordsize="21600,21600" o:spt="202" path="m,l,21600r21600,l21600,xe">
                <v:stroke joinstyle="miter"/>
                <v:path gradientshapeok="t" o:connecttype="rect"/>
              </v:shapetype>
              <v:shape id="Zone de texte 1" o:spid="_x0000_s1026" type="#_x0000_t202" style="position:absolute;left:0;text-align:left;margin-left:360.8pt;margin-top:257.2pt;width:412pt;height:.05pt;z-index:25165721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" stroked="f">
                <v:textbox style="mso-fit-shape-to-text:t" inset="0,0,0,0">
                  <w:txbxContent>
                    <w:p w14:paraId="4E235C27" w14:textId="27416A9C" w:rsidR="007E126A" w:rsidRPr="00094B0F" w:rsidRDefault="007E126A" w:rsidP="007E126A">
                      <w:pPr>
                        <w:pStyle w:val="Lgende"/>
                        <w:jc w:val="center"/>
                        <w:rPr>
                          <w:lang w:val="en-GB"/>
                        </w:rPr>
                      </w:pPr>
                      <w:r w:rsidRPr="00094B0F">
                        <w:rPr>
                          <w:b/>
                          <w:bCs/>
                          <w:lang w:val="en-GB"/>
                        </w:rPr>
                        <w:t xml:space="preserve">Figure </w:t>
                      </w:r>
                      <w:r w:rsidRPr="004E23E3">
                        <w:rPr>
                          <w:b/>
                          <w:bCs/>
                        </w:rPr>
                        <w:fldChar w:fldCharType="begin"/>
                      </w:r>
                      <w:r w:rsidRPr="00094B0F">
                        <w:rPr>
                          <w:b/>
                          <w:bCs/>
                          <w:lang w:val="en-GB"/>
                        </w:rPr>
                        <w:instrText xml:space="preserve"> SEQ Figure \* ARABIC </w:instrText>
                      </w:r>
                      <w:r w:rsidRPr="004E23E3">
                        <w:rPr>
                          <w:b/>
                          <w:bCs/>
                        </w:rPr>
                        <w:fldChar w:fldCharType="separate"/>
                      </w:r>
                      <w:r w:rsidR="0069715C">
                        <w:rPr>
                          <w:b/>
                          <w:bCs/>
                          <w:noProof/>
                          <w:lang w:val="en-GB"/>
                        </w:rPr>
                        <w:t>1</w:t>
                      </w:r>
                      <w:r w:rsidRPr="004E23E3">
                        <w:rPr>
                          <w:b/>
                          <w:bCs/>
                        </w:rPr>
                        <w:fldChar w:fldCharType="end"/>
                      </w:r>
                      <w:r w:rsidRPr="00094B0F">
                        <w:rPr>
                          <w:lang w:val="en-GB"/>
                        </w:rPr>
                        <w:t xml:space="preserve"> : SAXS profiles of </w:t>
                      </w:r>
                      <w:proofErr w:type="spellStart"/>
                      <w:r w:rsidRPr="00094B0F">
                        <w:rPr>
                          <w:lang w:val="en-GB"/>
                        </w:rPr>
                        <w:t>Nafion</w:t>
                      </w:r>
                      <w:proofErr w:type="spellEnd"/>
                      <w:r w:rsidRPr="00094B0F">
                        <w:rPr>
                          <w:lang w:val="en-GB"/>
                        </w:rPr>
                        <w:t xml:space="preserve"> membrane comparison between in-situ references and operando (left) and same wi</w:t>
                      </w:r>
                      <w:r w:rsidR="0007178F">
                        <w:rPr>
                          <w:lang w:val="en-GB"/>
                        </w:rPr>
                        <w:t>t</w:t>
                      </w:r>
                      <w:r w:rsidRPr="00094B0F">
                        <w:rPr>
                          <w:lang w:val="en-GB"/>
                        </w:rPr>
                        <w:t>hin the cathode catalyst layer (right)</w:t>
                      </w:r>
                    </w:p>
                  </w:txbxContent>
                </v:textbox>
                <w10:wrap type="topAndBottom" anchorx="margin"/>
              </v:shape>
            </w:pict>
          </mc:Fallback>
        </mc:AlternateContent>
      </w:r>
      <w:r w:rsidRPr="00876C54">
        <w:rPr>
          <w:noProof/>
          <w:lang w:val="en-GB"/>
        </w:rPr>
        <w:drawing>
          <wp:anchor distT="0" distB="0" distL="114300" distR="114300" simplePos="0" relativeHeight="251667456" behindDoc="0" locked="0" layoutInCell="1" allowOverlap="1" wp14:anchorId="656FFA4C" wp14:editId="53C61BEE">
            <wp:simplePos x="0" y="0"/>
            <wp:positionH relativeFrom="margin">
              <wp:align>center</wp:align>
            </wp:positionH>
            <wp:positionV relativeFrom="paragraph">
              <wp:posOffset>1170851</wp:posOffset>
            </wp:positionV>
            <wp:extent cx="4681855" cy="2096135"/>
            <wp:effectExtent l="0" t="0" r="4445"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81855" cy="2096135"/>
                    </a:xfrm>
                    <a:prstGeom prst="rect">
                      <a:avLst/>
                    </a:prstGeom>
                  </pic:spPr>
                </pic:pic>
              </a:graphicData>
            </a:graphic>
            <wp14:sizeRelH relativeFrom="margin">
              <wp14:pctWidth>0</wp14:pctWidth>
            </wp14:sizeRelH>
            <wp14:sizeRelV relativeFrom="margin">
              <wp14:pctHeight>0</wp14:pctHeight>
            </wp14:sizeRelV>
          </wp:anchor>
        </w:drawing>
      </w:r>
      <w:r w:rsidR="007E126A" w:rsidRPr="00876C54">
        <w:rPr>
          <w:lang w:val="en-GB"/>
        </w:rPr>
        <w:t xml:space="preserve">Our results, obtained from </w:t>
      </w:r>
      <w:r w:rsidR="007E126A" w:rsidRPr="00876C54">
        <w:rPr>
          <w:i/>
          <w:iCs/>
          <w:lang w:val="en-GB"/>
        </w:rPr>
        <w:t>operando</w:t>
      </w:r>
      <w:r w:rsidR="007E126A" w:rsidRPr="00876C54">
        <w:rPr>
          <w:lang w:val="en-GB"/>
        </w:rPr>
        <w:t xml:space="preserve"> experiment conducted at ID13 at the European Synchrotron (ESRF), reveal a clear evolution of the membrane structure, and thus water content under varying operating conditions. While changes in the SAXS profiles of the electrodes were not immediately apparent, advanced data processing identified consistent trends linked to electrode hydration. Figure 1 illustrates the structural evolution within the membrane and the cathode under both </w:t>
      </w:r>
      <w:r w:rsidR="007E126A" w:rsidRPr="00876C54">
        <w:rPr>
          <w:i/>
          <w:iCs/>
          <w:lang w:val="en-GB"/>
        </w:rPr>
        <w:t>in-situ</w:t>
      </w:r>
      <w:r w:rsidR="007E126A" w:rsidRPr="00876C54">
        <w:rPr>
          <w:lang w:val="en-GB"/>
        </w:rPr>
        <w:t xml:space="preserve"> and </w:t>
      </w:r>
      <w:r w:rsidR="007E126A" w:rsidRPr="00876C54">
        <w:rPr>
          <w:i/>
          <w:iCs/>
          <w:lang w:val="en-GB"/>
        </w:rPr>
        <w:t>operando</w:t>
      </w:r>
      <w:r w:rsidR="007E126A" w:rsidRPr="00876C54">
        <w:rPr>
          <w:lang w:val="en-GB"/>
        </w:rPr>
        <w:t xml:space="preserve"> conditions.</w:t>
      </w:r>
      <w:r w:rsidR="009250AB">
        <w:rPr>
          <w:lang w:val="en-GB"/>
        </w:rPr>
        <w:t xml:space="preserve"> </w:t>
      </w:r>
      <w:r w:rsidR="009250AB" w:rsidRPr="00EC7E59">
        <w:rPr>
          <w:lang w:val="en-GB"/>
        </w:rPr>
        <w:t xml:space="preserve">Developed by </w:t>
      </w:r>
      <w:proofErr w:type="spellStart"/>
      <w:r w:rsidR="009250AB" w:rsidRPr="00EC7E59">
        <w:rPr>
          <w:i/>
          <w:iCs/>
          <w:lang w:val="en-GB"/>
        </w:rPr>
        <w:t>Toudret</w:t>
      </w:r>
      <w:proofErr w:type="spellEnd"/>
      <w:r w:rsidR="009250AB" w:rsidRPr="00EC7E59">
        <w:rPr>
          <w:i/>
          <w:iCs/>
          <w:lang w:val="en-GB"/>
        </w:rPr>
        <w:t xml:space="preserve"> et al</w:t>
      </w:r>
      <w:r w:rsidR="009250AB">
        <w:rPr>
          <w:lang w:val="en-GB"/>
        </w:rPr>
        <w:t>. (1)</w:t>
      </w:r>
      <w:r w:rsidR="009250AB">
        <w:rPr>
          <w:lang w:val="en-GB"/>
        </w:rPr>
        <w:fldChar w:fldCharType="begin"/>
      </w:r>
      <w:r w:rsidR="009250AB">
        <w:rPr>
          <w:lang w:val="en-GB"/>
        </w:rPr>
        <w:instrText xml:space="preserve"> ADDIN ZOTERO_BIBL {"uncited":[],"omitted":[],"custom":[]} CSL_BIBLIOGRAPHY </w:instrText>
      </w:r>
      <w:r w:rsidR="009250AB">
        <w:rPr>
          <w:lang w:val="en-GB"/>
        </w:rPr>
        <w:fldChar w:fldCharType="separate"/>
      </w:r>
      <w:r w:rsidR="009250AB">
        <w:rPr>
          <w:szCs w:val="24"/>
          <w:lang w:val="en-GB"/>
        </w:rPr>
        <w:t>,</w:t>
      </w:r>
      <w:r w:rsidR="009250AB">
        <w:rPr>
          <w:lang w:val="en-GB"/>
        </w:rPr>
        <w:t xml:space="preserve"> this data treatment clearly tracks </w:t>
      </w:r>
      <w:r w:rsidR="00BD6927">
        <w:rPr>
          <w:lang w:val="en-GB"/>
        </w:rPr>
        <w:t xml:space="preserve">and the difference of hydration of the electrodes which appears to be different in </w:t>
      </w:r>
      <w:r w:rsidR="00BD6927" w:rsidRPr="00BD6927">
        <w:rPr>
          <w:i/>
          <w:iCs/>
          <w:lang w:val="en-GB"/>
        </w:rPr>
        <w:t>operando</w:t>
      </w:r>
      <w:r w:rsidR="00BD6927">
        <w:rPr>
          <w:lang w:val="en-GB"/>
        </w:rPr>
        <w:t xml:space="preserve"> conditions compared to </w:t>
      </w:r>
      <w:r w:rsidR="00BD6927" w:rsidRPr="00BD6927">
        <w:rPr>
          <w:i/>
          <w:iCs/>
          <w:lang w:val="en-GB"/>
        </w:rPr>
        <w:t>in-situ</w:t>
      </w:r>
      <w:r w:rsidR="00BD6927">
        <w:rPr>
          <w:lang w:val="en-GB"/>
        </w:rPr>
        <w:t xml:space="preserve"> references</w:t>
      </w:r>
      <w:r w:rsidR="000949BC">
        <w:rPr>
          <w:lang w:val="en-GB"/>
        </w:rPr>
        <w:t xml:space="preserve"> notably ionomer hydration and pores filling</w:t>
      </w:r>
      <w:r w:rsidR="00BD6927">
        <w:rPr>
          <w:lang w:val="en-GB"/>
        </w:rPr>
        <w:t xml:space="preserve">. </w:t>
      </w:r>
    </w:p>
    <w:p w14:paraId="2A85D1DB" w14:textId="0D89306F" w:rsidR="009250AB" w:rsidRDefault="009250AB" w:rsidP="009250AB">
      <w:pPr>
        <w:jc w:val="both"/>
        <w:rPr>
          <w:lang w:val="en-GB"/>
        </w:rPr>
      </w:pPr>
      <w:r>
        <w:rPr>
          <w:lang w:val="en-GB"/>
        </w:rPr>
        <w:fldChar w:fldCharType="end"/>
      </w:r>
    </w:p>
    <w:p w14:paraId="7A7A342A" w14:textId="10D17807" w:rsidR="00325004" w:rsidRPr="00551380" w:rsidRDefault="009250AB" w:rsidP="00E0716D">
      <w:pPr>
        <w:pStyle w:val="Paragraphedeliste"/>
        <w:numPr>
          <w:ilvl w:val="0"/>
          <w:numId w:val="2"/>
        </w:numPr>
        <w:jc w:val="both"/>
        <w:rPr>
          <w:rFonts w:ascii="Times New Roman" w:hAnsi="Times New Roman" w:cs="Times New Roman"/>
          <w:sz w:val="18"/>
          <w:szCs w:val="18"/>
          <w:lang w:val="en-GB"/>
        </w:rPr>
      </w:pPr>
      <w:proofErr w:type="spellStart"/>
      <w:r w:rsidRPr="009250AB">
        <w:rPr>
          <w:rFonts w:ascii="Times New Roman" w:hAnsi="Times New Roman" w:cs="Times New Roman"/>
          <w:sz w:val="18"/>
          <w:szCs w:val="20"/>
          <w:lang w:val="en-GB"/>
        </w:rPr>
        <w:t>Toudret</w:t>
      </w:r>
      <w:proofErr w:type="spellEnd"/>
      <w:r w:rsidRPr="009250AB">
        <w:rPr>
          <w:rFonts w:ascii="Times New Roman" w:hAnsi="Times New Roman" w:cs="Times New Roman"/>
          <w:sz w:val="18"/>
          <w:szCs w:val="20"/>
          <w:lang w:val="en-GB"/>
        </w:rPr>
        <w:t xml:space="preserve">, P.; </w:t>
      </w:r>
      <w:proofErr w:type="spellStart"/>
      <w:r w:rsidRPr="009250AB">
        <w:rPr>
          <w:rFonts w:ascii="Times New Roman" w:hAnsi="Times New Roman" w:cs="Times New Roman"/>
          <w:sz w:val="18"/>
          <w:szCs w:val="20"/>
          <w:lang w:val="en-GB"/>
        </w:rPr>
        <w:t>Wolanin</w:t>
      </w:r>
      <w:proofErr w:type="spellEnd"/>
      <w:r w:rsidRPr="009250AB">
        <w:rPr>
          <w:rFonts w:ascii="Times New Roman" w:hAnsi="Times New Roman" w:cs="Times New Roman"/>
          <w:sz w:val="18"/>
          <w:szCs w:val="20"/>
          <w:lang w:val="en-GB"/>
        </w:rPr>
        <w:t xml:space="preserve">, J.; Gebel, G.; Morin, A. Investigation of Ionomer Hydration and Local Relative Humidity in Platinum and Non-Noble Based Catalyst Layers in Proton Exchange Membrane Fuel Cells Using SAXS. </w:t>
      </w:r>
      <w:r w:rsidRPr="009250AB">
        <w:rPr>
          <w:rFonts w:ascii="Times New Roman" w:hAnsi="Times New Roman" w:cs="Times New Roman"/>
          <w:i/>
          <w:iCs/>
          <w:sz w:val="18"/>
          <w:szCs w:val="20"/>
          <w:lang w:val="en-GB"/>
        </w:rPr>
        <w:t>J. Power Sources</w:t>
      </w:r>
      <w:r w:rsidRPr="009250AB">
        <w:rPr>
          <w:rFonts w:ascii="Times New Roman" w:hAnsi="Times New Roman" w:cs="Times New Roman"/>
          <w:sz w:val="18"/>
          <w:szCs w:val="20"/>
          <w:lang w:val="en-GB"/>
        </w:rPr>
        <w:t xml:space="preserve"> </w:t>
      </w:r>
      <w:r w:rsidRPr="009250AB">
        <w:rPr>
          <w:rFonts w:ascii="Times New Roman" w:hAnsi="Times New Roman" w:cs="Times New Roman"/>
          <w:b/>
          <w:bCs/>
          <w:sz w:val="18"/>
          <w:szCs w:val="20"/>
          <w:lang w:val="en-GB"/>
        </w:rPr>
        <w:t>2023</w:t>
      </w:r>
      <w:r w:rsidRPr="009250AB">
        <w:rPr>
          <w:rFonts w:ascii="Times New Roman" w:hAnsi="Times New Roman" w:cs="Times New Roman"/>
          <w:sz w:val="18"/>
          <w:szCs w:val="20"/>
          <w:lang w:val="en-GB"/>
        </w:rPr>
        <w:t xml:space="preserve">, </w:t>
      </w:r>
      <w:r w:rsidRPr="009250AB">
        <w:rPr>
          <w:rFonts w:ascii="Times New Roman" w:hAnsi="Times New Roman" w:cs="Times New Roman"/>
          <w:i/>
          <w:iCs/>
          <w:sz w:val="18"/>
          <w:szCs w:val="20"/>
          <w:lang w:val="en-GB"/>
        </w:rPr>
        <w:t>586</w:t>
      </w:r>
      <w:r w:rsidRPr="009250AB">
        <w:rPr>
          <w:rFonts w:ascii="Times New Roman" w:hAnsi="Times New Roman" w:cs="Times New Roman"/>
          <w:sz w:val="18"/>
          <w:szCs w:val="20"/>
          <w:lang w:val="en-GB"/>
        </w:rPr>
        <w:t>, 233671. https://doi.org/10.1016/j.jpowsour.2023.233671</w:t>
      </w:r>
    </w:p>
    <w:sectPr w:rsidR="00325004" w:rsidRPr="00551380"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AEDF3" w14:textId="77777777" w:rsidR="000568DA" w:rsidRDefault="000568DA" w:rsidP="009250AB">
      <w:r>
        <w:separator/>
      </w:r>
    </w:p>
  </w:endnote>
  <w:endnote w:type="continuationSeparator" w:id="0">
    <w:p w14:paraId="0D5B5CE1" w14:textId="77777777" w:rsidR="000568DA" w:rsidRDefault="000568DA" w:rsidP="00925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D0869" w14:textId="77777777" w:rsidR="000568DA" w:rsidRDefault="000568DA" w:rsidP="009250AB">
      <w:r>
        <w:separator/>
      </w:r>
    </w:p>
  </w:footnote>
  <w:footnote w:type="continuationSeparator" w:id="0">
    <w:p w14:paraId="73E2408B" w14:textId="77777777" w:rsidR="000568DA" w:rsidRDefault="000568DA" w:rsidP="00925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86D27"/>
    <w:multiLevelType w:val="hybridMultilevel"/>
    <w:tmpl w:val="B91ACBB6"/>
    <w:lvl w:ilvl="0" w:tplc="8B8CDF1C">
      <w:start w:val="1"/>
      <w:numFmt w:val="decimal"/>
      <w:lvlText w:val="%1."/>
      <w:lvlJc w:val="left"/>
      <w:pPr>
        <w:ind w:left="720" w:hanging="360"/>
      </w:pPr>
      <w:rPr>
        <w:rFonts w:hint="default"/>
        <w:vertAlign w:val="superscrip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314407F"/>
    <w:multiLevelType w:val="hybridMultilevel"/>
    <w:tmpl w:val="8A5A49BE"/>
    <w:lvl w:ilvl="0" w:tplc="FA24DC00">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568DA"/>
    <w:rsid w:val="0007178F"/>
    <w:rsid w:val="000949BC"/>
    <w:rsid w:val="0013604D"/>
    <w:rsid w:val="00164562"/>
    <w:rsid w:val="00325004"/>
    <w:rsid w:val="003778DF"/>
    <w:rsid w:val="004E75B5"/>
    <w:rsid w:val="00536366"/>
    <w:rsid w:val="00551380"/>
    <w:rsid w:val="005C02C4"/>
    <w:rsid w:val="005D1A6F"/>
    <w:rsid w:val="00600D53"/>
    <w:rsid w:val="00685C1A"/>
    <w:rsid w:val="0069715C"/>
    <w:rsid w:val="006F4CE0"/>
    <w:rsid w:val="0073330E"/>
    <w:rsid w:val="007E126A"/>
    <w:rsid w:val="008704B3"/>
    <w:rsid w:val="00885568"/>
    <w:rsid w:val="009250AB"/>
    <w:rsid w:val="009262F7"/>
    <w:rsid w:val="00991378"/>
    <w:rsid w:val="009C152E"/>
    <w:rsid w:val="009D2FEA"/>
    <w:rsid w:val="00A85FFE"/>
    <w:rsid w:val="00BA6F12"/>
    <w:rsid w:val="00BD6927"/>
    <w:rsid w:val="00CB1652"/>
    <w:rsid w:val="00DF5875"/>
    <w:rsid w:val="00E0716D"/>
    <w:rsid w:val="00EE55F5"/>
    <w:rsid w:val="00F97641"/>
    <w:rsid w:val="00FC2395"/>
    <w:rsid w:val="00FC5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47C6BD"/>
  <w14:defaultImageDpi w14:val="300"/>
  <w15:docId w15:val="{BD9D5BDA-40B9-49F5-BFF4-8175457B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E126A"/>
    <w:pPr>
      <w:widowControl/>
      <w:spacing w:after="160" w:line="259" w:lineRule="auto"/>
      <w:ind w:left="720"/>
      <w:contextualSpacing/>
    </w:pPr>
    <w:rPr>
      <w:rFonts w:asciiTheme="minorHAnsi" w:eastAsiaTheme="minorHAnsi" w:hAnsiTheme="minorHAnsi" w:cstheme="minorBidi"/>
      <w:snapToGrid/>
      <w:sz w:val="22"/>
      <w:szCs w:val="22"/>
      <w:lang w:val="fr-FR"/>
    </w:rPr>
  </w:style>
  <w:style w:type="paragraph" w:styleId="Lgende">
    <w:name w:val="caption"/>
    <w:basedOn w:val="Normal"/>
    <w:next w:val="Normal"/>
    <w:uiPriority w:val="35"/>
    <w:unhideWhenUsed/>
    <w:qFormat/>
    <w:rsid w:val="007E126A"/>
    <w:pPr>
      <w:widowControl/>
      <w:spacing w:after="200"/>
    </w:pPr>
    <w:rPr>
      <w:rFonts w:asciiTheme="minorHAnsi" w:eastAsiaTheme="minorHAnsi" w:hAnsiTheme="minorHAnsi" w:cstheme="minorBidi"/>
      <w:i/>
      <w:iCs/>
      <w:snapToGrid/>
      <w:color w:val="1F497D" w:themeColor="text2"/>
      <w:sz w:val="18"/>
      <w:szCs w:val="18"/>
      <w:lang w:val="fr-FR"/>
    </w:rPr>
  </w:style>
  <w:style w:type="paragraph" w:styleId="Bibliographie">
    <w:name w:val="Bibliography"/>
    <w:basedOn w:val="Normal"/>
    <w:next w:val="Normal"/>
    <w:uiPriority w:val="37"/>
    <w:semiHidden/>
    <w:unhideWhenUsed/>
    <w:rsid w:val="009250AB"/>
  </w:style>
  <w:style w:type="paragraph" w:styleId="En-tte">
    <w:name w:val="header"/>
    <w:basedOn w:val="Normal"/>
    <w:link w:val="En-tteCar"/>
    <w:uiPriority w:val="99"/>
    <w:unhideWhenUsed/>
    <w:rsid w:val="009250AB"/>
    <w:pPr>
      <w:tabs>
        <w:tab w:val="center" w:pos="4536"/>
        <w:tab w:val="right" w:pos="9072"/>
      </w:tabs>
    </w:pPr>
  </w:style>
  <w:style w:type="character" w:customStyle="1" w:styleId="En-tteCar">
    <w:name w:val="En-tête Car"/>
    <w:basedOn w:val="Policepardfaut"/>
    <w:link w:val="En-tte"/>
    <w:uiPriority w:val="99"/>
    <w:rsid w:val="009250AB"/>
    <w:rPr>
      <w:snapToGrid w:val="0"/>
    </w:rPr>
  </w:style>
  <w:style w:type="paragraph" w:styleId="Pieddepage">
    <w:name w:val="footer"/>
    <w:basedOn w:val="Normal"/>
    <w:link w:val="PieddepageCar"/>
    <w:uiPriority w:val="99"/>
    <w:unhideWhenUsed/>
    <w:rsid w:val="009250AB"/>
    <w:pPr>
      <w:tabs>
        <w:tab w:val="center" w:pos="4536"/>
        <w:tab w:val="right" w:pos="9072"/>
      </w:tabs>
    </w:pPr>
  </w:style>
  <w:style w:type="character" w:customStyle="1" w:styleId="PieddepageCar">
    <w:name w:val="Pied de page Car"/>
    <w:basedOn w:val="Policepardfaut"/>
    <w:link w:val="Pieddepage"/>
    <w:uiPriority w:val="99"/>
    <w:rsid w:val="009250AB"/>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452</Words>
  <Characters>2581</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SERON Clément</cp:lastModifiedBy>
  <cp:revision>2</cp:revision>
  <cp:lastPrinted>2026-05-31T10:21:00Z</cp:lastPrinted>
  <dcterms:created xsi:type="dcterms:W3CDTF">2026-05-31T10:27:00Z</dcterms:created>
  <dcterms:modified xsi:type="dcterms:W3CDTF">2026-05-31T10:27:00Z</dcterms:modified>
</cp:coreProperties>
</file>