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F0BD0" w14:textId="2533D6A9" w:rsidR="00C639A6" w:rsidRPr="00C639A6" w:rsidRDefault="00C639A6" w:rsidP="00C639A6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2"/>
          <w:szCs w:val="22"/>
        </w:rPr>
      </w:pPr>
      <w:proofErr w:type="gramStart"/>
      <w:r w:rsidRPr="00C639A6">
        <w:rPr>
          <w:b/>
          <w:sz w:val="28"/>
          <w:szCs w:val="28"/>
        </w:rPr>
        <w:t>Hierarchically</w:t>
      </w:r>
      <w:proofErr w:type="gramEnd"/>
      <w:r w:rsidRPr="00C639A6">
        <w:rPr>
          <w:b/>
          <w:sz w:val="28"/>
          <w:szCs w:val="28"/>
        </w:rPr>
        <w:t xml:space="preserve"> Development of Highly Selective Ag Catalyst </w:t>
      </w:r>
      <w:proofErr w:type="gramStart"/>
      <w:r w:rsidR="00015710">
        <w:rPr>
          <w:b/>
          <w:sz w:val="28"/>
          <w:szCs w:val="28"/>
        </w:rPr>
        <w:t>F</w:t>
      </w:r>
      <w:r w:rsidRPr="00C639A6">
        <w:rPr>
          <w:b/>
          <w:sz w:val="28"/>
          <w:szCs w:val="28"/>
        </w:rPr>
        <w:t>or</w:t>
      </w:r>
      <w:proofErr w:type="gramEnd"/>
      <w:r w:rsidRPr="00C639A6">
        <w:rPr>
          <w:b/>
          <w:sz w:val="28"/>
          <w:szCs w:val="28"/>
        </w:rPr>
        <w:t xml:space="preserve"> Electrochemical CO</w:t>
      </w:r>
      <w:r w:rsidRPr="00C639A6">
        <w:rPr>
          <w:b/>
          <w:sz w:val="28"/>
          <w:szCs w:val="28"/>
          <w:vertAlign w:val="subscript"/>
        </w:rPr>
        <w:t>2</w:t>
      </w:r>
      <w:r w:rsidRPr="00C639A6">
        <w:rPr>
          <w:b/>
          <w:sz w:val="28"/>
          <w:szCs w:val="28"/>
        </w:rPr>
        <w:t xml:space="preserve"> to CO Conversion</w:t>
      </w:r>
    </w:p>
    <w:p w14:paraId="1634E6BC" w14:textId="77777777" w:rsidR="00C639A6" w:rsidRDefault="00C639A6" w:rsidP="00C639A6">
      <w:pPr>
        <w:pBdr>
          <w:top w:val="nil"/>
          <w:left w:val="nil"/>
          <w:bottom w:val="nil"/>
          <w:right w:val="nil"/>
          <w:between w:val="nil"/>
        </w:pBdr>
        <w:jc w:val="center"/>
        <w:rPr>
          <w:vertAlign w:val="superscript"/>
        </w:rPr>
      </w:pPr>
    </w:p>
    <w:p w14:paraId="3D6A3C6F" w14:textId="4E716D76" w:rsidR="00C639A6" w:rsidRPr="00DC3176" w:rsidRDefault="00C639A6" w:rsidP="00EA74F3">
      <w:pPr>
        <w:pStyle w:val="BBAuthorName"/>
        <w:spacing w:line="240" w:lineRule="auto"/>
        <w:jc w:val="left"/>
        <w:rPr>
          <w:sz w:val="20"/>
          <w:szCs w:val="16"/>
        </w:rPr>
      </w:pPr>
      <w:r w:rsidRPr="00DC3176">
        <w:rPr>
          <w:i w:val="0"/>
          <w:iCs/>
          <w:sz w:val="20"/>
          <w:szCs w:val="16"/>
        </w:rPr>
        <w:t>Vineet Kumar</w:t>
      </w:r>
      <w:r w:rsidR="007366D5">
        <w:rPr>
          <w:sz w:val="20"/>
          <w:szCs w:val="16"/>
          <w:vertAlign w:val="superscript"/>
        </w:rPr>
        <w:t>1</w:t>
      </w:r>
      <w:r w:rsidRPr="00DC3176">
        <w:rPr>
          <w:sz w:val="20"/>
          <w:szCs w:val="16"/>
        </w:rPr>
        <w:t xml:space="preserve">, </w:t>
      </w:r>
      <w:proofErr w:type="spellStart"/>
      <w:r w:rsidRPr="00DC3176">
        <w:rPr>
          <w:i w:val="0"/>
          <w:iCs/>
          <w:sz w:val="20"/>
          <w:szCs w:val="16"/>
        </w:rPr>
        <w:t>Moitrayee</w:t>
      </w:r>
      <w:proofErr w:type="spellEnd"/>
      <w:r w:rsidRPr="00DC3176">
        <w:rPr>
          <w:i w:val="0"/>
          <w:iCs/>
          <w:sz w:val="20"/>
          <w:szCs w:val="16"/>
        </w:rPr>
        <w:t xml:space="preserve"> Chatterjee</w:t>
      </w:r>
      <w:r w:rsidR="003F4B94">
        <w:rPr>
          <w:rFonts w:ascii="Times New Roman" w:hAnsi="Times New Roman"/>
          <w:sz w:val="20"/>
          <w:szCs w:val="16"/>
          <w:vertAlign w:val="superscript"/>
        </w:rPr>
        <w:t>2</w:t>
      </w:r>
      <w:r w:rsidRPr="00DC3176">
        <w:rPr>
          <w:sz w:val="20"/>
          <w:szCs w:val="16"/>
        </w:rPr>
        <w:t xml:space="preserve">, </w:t>
      </w:r>
      <w:r w:rsidRPr="00DC3176">
        <w:rPr>
          <w:i w:val="0"/>
          <w:iCs/>
          <w:sz w:val="20"/>
          <w:szCs w:val="16"/>
        </w:rPr>
        <w:t>Mohd Zafar Iqbal</w:t>
      </w:r>
      <w:r w:rsidR="003F4B94">
        <w:rPr>
          <w:rFonts w:cs="Times"/>
          <w:sz w:val="20"/>
          <w:szCs w:val="16"/>
          <w:vertAlign w:val="superscript"/>
        </w:rPr>
        <w:t>3</w:t>
      </w:r>
      <w:r w:rsidRPr="00DC3176">
        <w:rPr>
          <w:i w:val="0"/>
          <w:iCs/>
          <w:sz w:val="20"/>
          <w:szCs w:val="16"/>
        </w:rPr>
        <w:t>, Niloy Kundu</w:t>
      </w:r>
      <w:r w:rsidR="003F4B94">
        <w:rPr>
          <w:rFonts w:cs="Times"/>
          <w:sz w:val="20"/>
          <w:szCs w:val="16"/>
          <w:vertAlign w:val="superscript"/>
        </w:rPr>
        <w:t>3</w:t>
      </w:r>
      <w:r w:rsidRPr="00DC3176">
        <w:rPr>
          <w:i w:val="0"/>
          <w:iCs/>
          <w:sz w:val="20"/>
          <w:szCs w:val="16"/>
        </w:rPr>
        <w:t>, Pratik Swarup Dash</w:t>
      </w:r>
      <w:r w:rsidR="003F4B94">
        <w:rPr>
          <w:rFonts w:cs="Times"/>
          <w:sz w:val="20"/>
          <w:szCs w:val="16"/>
          <w:vertAlign w:val="superscript"/>
        </w:rPr>
        <w:t>3</w:t>
      </w:r>
      <w:r w:rsidRPr="00DC3176">
        <w:rPr>
          <w:i w:val="0"/>
          <w:iCs/>
          <w:sz w:val="20"/>
          <w:szCs w:val="16"/>
        </w:rPr>
        <w:t>, Raj Ganesh S. Pala</w:t>
      </w:r>
      <w:r w:rsidR="00B53B3D" w:rsidRPr="00B53B3D">
        <w:rPr>
          <w:sz w:val="20"/>
          <w:szCs w:val="16"/>
          <w:vertAlign w:val="superscript"/>
        </w:rPr>
        <w:t>1,2</w:t>
      </w:r>
      <w:r w:rsidRPr="00B53B3D">
        <w:rPr>
          <w:sz w:val="20"/>
          <w:szCs w:val="16"/>
          <w:vertAlign w:val="superscript"/>
        </w:rPr>
        <w:t xml:space="preserve"> </w:t>
      </w:r>
    </w:p>
    <w:p w14:paraId="2F9D50B5" w14:textId="00140948" w:rsidR="00C639A6" w:rsidRPr="00B228B6" w:rsidRDefault="005E3659" w:rsidP="00764899">
      <w:pPr>
        <w:pStyle w:val="BCAuthorAddress"/>
        <w:spacing w:line="240" w:lineRule="auto"/>
        <w:rPr>
          <w:i/>
          <w:iCs/>
          <w:sz w:val="20"/>
        </w:rPr>
      </w:pPr>
      <w:r w:rsidRPr="00B228B6">
        <w:rPr>
          <w:i/>
          <w:iCs/>
          <w:sz w:val="20"/>
          <w:vertAlign w:val="superscript"/>
        </w:rPr>
        <w:t>1</w:t>
      </w:r>
      <w:r w:rsidR="00C639A6" w:rsidRPr="00B228B6">
        <w:rPr>
          <w:i/>
          <w:iCs/>
          <w:sz w:val="20"/>
          <w:vertAlign w:val="superscript"/>
        </w:rPr>
        <w:t xml:space="preserve"> </w:t>
      </w:r>
      <w:r w:rsidR="00C639A6" w:rsidRPr="00B228B6">
        <w:rPr>
          <w:i/>
          <w:iCs/>
          <w:sz w:val="20"/>
        </w:rPr>
        <w:t xml:space="preserve">Materials Science </w:t>
      </w:r>
      <w:proofErr w:type="spellStart"/>
      <w:r w:rsidR="00C639A6" w:rsidRPr="00B228B6">
        <w:rPr>
          <w:i/>
          <w:iCs/>
          <w:sz w:val="20"/>
        </w:rPr>
        <w:t>Programme</w:t>
      </w:r>
      <w:proofErr w:type="spellEnd"/>
      <w:r w:rsidR="00C639A6" w:rsidRPr="00B228B6">
        <w:rPr>
          <w:i/>
          <w:iCs/>
          <w:sz w:val="20"/>
        </w:rPr>
        <w:t>, Indian Institute of Technology, Kanpur, India</w:t>
      </w:r>
    </w:p>
    <w:p w14:paraId="412DF630" w14:textId="7E3D0DCF" w:rsidR="00C639A6" w:rsidRPr="00B228B6" w:rsidRDefault="005E3659" w:rsidP="00764899">
      <w:pPr>
        <w:pStyle w:val="BCAuthorAddress"/>
        <w:spacing w:line="240" w:lineRule="auto"/>
        <w:rPr>
          <w:i/>
          <w:iCs/>
          <w:sz w:val="20"/>
        </w:rPr>
      </w:pPr>
      <w:r w:rsidRPr="00B228B6">
        <w:rPr>
          <w:rFonts w:ascii="Times New Roman" w:hAnsi="Times New Roman"/>
          <w:i/>
          <w:iCs/>
          <w:sz w:val="20"/>
          <w:vertAlign w:val="superscript"/>
        </w:rPr>
        <w:t>2</w:t>
      </w:r>
      <w:r w:rsidR="00C639A6" w:rsidRPr="00B228B6">
        <w:rPr>
          <w:i/>
          <w:iCs/>
          <w:sz w:val="20"/>
        </w:rPr>
        <w:t xml:space="preserve"> Department of Chemical Engineering, Indian Institute of Technology, Kanpur, India</w:t>
      </w:r>
    </w:p>
    <w:p w14:paraId="1B4A5F63" w14:textId="666EA671" w:rsidR="00C639A6" w:rsidRPr="00B228B6" w:rsidRDefault="005E3659" w:rsidP="00764899">
      <w:pPr>
        <w:pStyle w:val="BIEmailAddress"/>
        <w:spacing w:line="240" w:lineRule="auto"/>
        <w:jc w:val="center"/>
        <w:rPr>
          <w:i/>
          <w:iCs/>
          <w:sz w:val="20"/>
          <w:lang w:val="en-IN"/>
        </w:rPr>
      </w:pPr>
      <w:r w:rsidRPr="00B228B6">
        <w:rPr>
          <w:i/>
          <w:iCs/>
          <w:sz w:val="20"/>
          <w:vertAlign w:val="superscript"/>
          <w:lang w:val="en-IN"/>
        </w:rPr>
        <w:t>3</w:t>
      </w:r>
      <w:r w:rsidR="00C639A6" w:rsidRPr="00B228B6">
        <w:rPr>
          <w:i/>
          <w:iCs/>
          <w:sz w:val="20"/>
          <w:lang w:val="en-IN"/>
        </w:rPr>
        <w:t>Research and Development Division, Tata Steel Limited, Jamshedpur, India</w:t>
      </w:r>
    </w:p>
    <w:p w14:paraId="63FDE923" w14:textId="77777777" w:rsidR="00C639A6" w:rsidRDefault="00C639A6" w:rsidP="00764899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2"/>
          <w:szCs w:val="22"/>
        </w:rPr>
      </w:pPr>
    </w:p>
    <w:p w14:paraId="11E7644D" w14:textId="5581EEE1" w:rsidR="00403175" w:rsidRPr="00071288" w:rsidRDefault="0095590B" w:rsidP="00764899">
      <w:pPr>
        <w:spacing w:line="360" w:lineRule="auto"/>
        <w:jc w:val="center"/>
        <w:rPr>
          <w:bCs/>
          <w:i/>
          <w:iCs/>
          <w:sz w:val="20"/>
          <w:szCs w:val="20"/>
        </w:rPr>
      </w:pPr>
      <w:bookmarkStart w:id="0" w:name="_Hlk190214339"/>
      <w:r w:rsidRPr="00071288">
        <w:rPr>
          <w:bCs/>
          <w:i/>
          <w:iCs/>
          <w:sz w:val="20"/>
          <w:szCs w:val="20"/>
        </w:rPr>
        <w:t xml:space="preserve">E-mail: </w:t>
      </w:r>
      <w:hyperlink r:id="rId4" w:history="1">
        <w:r w:rsidRPr="00071288">
          <w:rPr>
            <w:rStyle w:val="Hyperlink"/>
            <w:i/>
            <w:iCs/>
            <w:sz w:val="20"/>
            <w:szCs w:val="20"/>
          </w:rPr>
          <w:t>vinitk@iitk.ac.in</w:t>
        </w:r>
      </w:hyperlink>
      <w:r w:rsidRPr="00071288">
        <w:rPr>
          <w:bCs/>
          <w:i/>
          <w:iCs/>
          <w:sz w:val="20"/>
          <w:szCs w:val="20"/>
        </w:rPr>
        <w:t xml:space="preserve"> (Vineet Kumar)</w:t>
      </w:r>
    </w:p>
    <w:p w14:paraId="75123AFB" w14:textId="77777777" w:rsidR="0095590B" w:rsidRDefault="0095590B" w:rsidP="00EA74F3">
      <w:pPr>
        <w:spacing w:line="360" w:lineRule="auto"/>
        <w:jc w:val="both"/>
        <w:rPr>
          <w:lang w:val="en-US"/>
        </w:rPr>
      </w:pPr>
    </w:p>
    <w:p w14:paraId="77F2F8AA" w14:textId="1737A41F" w:rsidR="00137C4C" w:rsidRPr="007B37CE" w:rsidRDefault="00C639A6" w:rsidP="00CF3511">
      <w:pPr>
        <w:spacing w:line="360" w:lineRule="auto"/>
        <w:jc w:val="both"/>
        <w:rPr>
          <w:sz w:val="20"/>
          <w:szCs w:val="20"/>
          <w:lang w:val="en-US"/>
        </w:rPr>
      </w:pPr>
      <w:r w:rsidRPr="007B37CE">
        <w:rPr>
          <w:sz w:val="20"/>
          <w:szCs w:val="20"/>
          <w:lang w:val="en-US"/>
        </w:rPr>
        <w:t>As global energy demand continues to rise, the use of fossil fuels for power, transportation, and industry increases CO</w:t>
      </w:r>
      <w:r w:rsidRPr="007B37CE">
        <w:rPr>
          <w:sz w:val="20"/>
          <w:szCs w:val="20"/>
          <w:vertAlign w:val="subscript"/>
          <w:lang w:val="en-US"/>
        </w:rPr>
        <w:t>2</w:t>
      </w:r>
      <w:r w:rsidRPr="007B37CE">
        <w:rPr>
          <w:sz w:val="20"/>
          <w:szCs w:val="20"/>
          <w:lang w:val="en-US"/>
        </w:rPr>
        <w:t xml:space="preserve"> emissions, contributing to climate change. </w:t>
      </w:r>
      <w:r w:rsidR="00EA108C" w:rsidRPr="007B37CE">
        <w:rPr>
          <w:sz w:val="20"/>
          <w:szCs w:val="20"/>
          <w:lang w:val="en-US"/>
        </w:rPr>
        <w:t>E</w:t>
      </w:r>
      <w:proofErr w:type="spellStart"/>
      <w:r w:rsidR="00EA108C" w:rsidRPr="007B37CE">
        <w:rPr>
          <w:sz w:val="20"/>
          <w:szCs w:val="20"/>
        </w:rPr>
        <w:t>xtensive</w:t>
      </w:r>
      <w:proofErr w:type="spellEnd"/>
      <w:r w:rsidR="00EA108C" w:rsidRPr="007B37CE">
        <w:rPr>
          <w:sz w:val="20"/>
          <w:szCs w:val="20"/>
        </w:rPr>
        <w:t xml:space="preserve"> research is </w:t>
      </w:r>
      <w:r w:rsidR="0095590B" w:rsidRPr="007B37CE">
        <w:rPr>
          <w:sz w:val="20"/>
          <w:szCs w:val="20"/>
        </w:rPr>
        <w:t>focused on the low-temperature (&lt;100℃) electrochemical reduction of carbon dioxide (CO</w:t>
      </w:r>
      <w:r w:rsidR="0095590B" w:rsidRPr="007B37CE">
        <w:rPr>
          <w:sz w:val="20"/>
          <w:szCs w:val="20"/>
          <w:vertAlign w:val="subscript"/>
        </w:rPr>
        <w:t>2</w:t>
      </w:r>
      <w:r w:rsidR="0095590B" w:rsidRPr="007B37CE">
        <w:rPr>
          <w:sz w:val="20"/>
          <w:szCs w:val="20"/>
        </w:rPr>
        <w:t>) to mitigate greenhouse gas emissions and produce value-added chemicals, such as carbon monoxide (CO), ethylene (C</w:t>
      </w:r>
      <w:r w:rsidR="0095590B" w:rsidRPr="007B37CE">
        <w:rPr>
          <w:sz w:val="20"/>
          <w:szCs w:val="20"/>
          <w:vertAlign w:val="subscript"/>
        </w:rPr>
        <w:t>2</w:t>
      </w:r>
      <w:r w:rsidR="0095590B" w:rsidRPr="007B37CE">
        <w:rPr>
          <w:sz w:val="20"/>
          <w:szCs w:val="20"/>
        </w:rPr>
        <w:t>H</w:t>
      </w:r>
      <w:r w:rsidR="0095590B" w:rsidRPr="007B37CE">
        <w:rPr>
          <w:sz w:val="20"/>
          <w:szCs w:val="20"/>
          <w:vertAlign w:val="subscript"/>
        </w:rPr>
        <w:t>4</w:t>
      </w:r>
      <w:r w:rsidR="0095590B" w:rsidRPr="007B37CE">
        <w:rPr>
          <w:sz w:val="20"/>
          <w:szCs w:val="20"/>
        </w:rPr>
        <w:t>), and methanol (CH</w:t>
      </w:r>
      <w:r w:rsidR="0095590B" w:rsidRPr="007B37CE">
        <w:rPr>
          <w:sz w:val="20"/>
          <w:szCs w:val="20"/>
          <w:vertAlign w:val="subscript"/>
        </w:rPr>
        <w:t>3</w:t>
      </w:r>
      <w:r w:rsidR="0095590B" w:rsidRPr="007B37CE">
        <w:rPr>
          <w:sz w:val="20"/>
          <w:szCs w:val="20"/>
        </w:rPr>
        <w:t>OH)</w:t>
      </w:r>
      <w:r w:rsidR="00EA108C" w:rsidRPr="007B37CE">
        <w:rPr>
          <w:sz w:val="20"/>
          <w:szCs w:val="20"/>
        </w:rPr>
        <w:t xml:space="preserve">. </w:t>
      </w:r>
      <w:r w:rsidRPr="007B37CE">
        <w:rPr>
          <w:sz w:val="20"/>
          <w:szCs w:val="20"/>
          <w:lang w:val="en-US"/>
        </w:rPr>
        <w:t>Electrochemical CO</w:t>
      </w:r>
      <w:r w:rsidRPr="007B37CE">
        <w:rPr>
          <w:sz w:val="20"/>
          <w:szCs w:val="20"/>
          <w:vertAlign w:val="subscript"/>
          <w:lang w:val="en-US"/>
        </w:rPr>
        <w:t>2</w:t>
      </w:r>
      <w:r w:rsidRPr="007B37CE">
        <w:rPr>
          <w:sz w:val="20"/>
          <w:szCs w:val="20"/>
          <w:lang w:val="en-US"/>
        </w:rPr>
        <w:t xml:space="preserve"> reduction</w:t>
      </w:r>
      <w:r w:rsidR="00CF3511" w:rsidRPr="007B37CE">
        <w:rPr>
          <w:sz w:val="20"/>
          <w:szCs w:val="20"/>
          <w:lang w:val="en-US"/>
        </w:rPr>
        <w:t xml:space="preserve"> reaction</w:t>
      </w:r>
      <w:r w:rsidRPr="007B37CE">
        <w:rPr>
          <w:sz w:val="20"/>
          <w:szCs w:val="20"/>
          <w:lang w:val="en-US"/>
        </w:rPr>
        <w:t xml:space="preserve"> (ECO</w:t>
      </w:r>
      <w:r w:rsidRPr="007B37CE">
        <w:rPr>
          <w:sz w:val="20"/>
          <w:szCs w:val="20"/>
          <w:vertAlign w:val="subscript"/>
          <w:lang w:val="en-US"/>
        </w:rPr>
        <w:t>2</w:t>
      </w:r>
      <w:r w:rsidRPr="007B37CE">
        <w:rPr>
          <w:sz w:val="20"/>
          <w:szCs w:val="20"/>
          <w:lang w:val="en-US"/>
        </w:rPr>
        <w:t>R</w:t>
      </w:r>
      <w:r w:rsidR="00CF3511" w:rsidRPr="007B37CE">
        <w:rPr>
          <w:sz w:val="20"/>
          <w:szCs w:val="20"/>
          <w:lang w:val="en-US"/>
        </w:rPr>
        <w:t>R</w:t>
      </w:r>
      <w:r w:rsidRPr="007B37CE">
        <w:rPr>
          <w:sz w:val="20"/>
          <w:szCs w:val="20"/>
          <w:lang w:val="en-US"/>
        </w:rPr>
        <w:t>), powered by renewable energy, offers a promising solution to mitigate this issue by converting CO</w:t>
      </w:r>
      <w:r w:rsidRPr="007B37CE">
        <w:rPr>
          <w:sz w:val="20"/>
          <w:szCs w:val="20"/>
          <w:vertAlign w:val="subscript"/>
          <w:lang w:val="en-US"/>
        </w:rPr>
        <w:t>2</w:t>
      </w:r>
      <w:r w:rsidRPr="007B37CE">
        <w:rPr>
          <w:sz w:val="20"/>
          <w:szCs w:val="20"/>
          <w:lang w:val="en-US"/>
        </w:rPr>
        <w:t xml:space="preserve"> into valuable fuels and chemicals, thus closing the carbon cycle. However, scaling this technology from laboratory demonstrations to economically viable industrial processes </w:t>
      </w:r>
      <w:proofErr w:type="gramStart"/>
      <w:r w:rsidR="00291A75">
        <w:rPr>
          <w:sz w:val="20"/>
          <w:szCs w:val="20"/>
          <w:lang w:val="en-US"/>
        </w:rPr>
        <w:t>presents</w:t>
      </w:r>
      <w:proofErr w:type="gramEnd"/>
      <w:r w:rsidRPr="007B37CE">
        <w:rPr>
          <w:sz w:val="20"/>
          <w:szCs w:val="20"/>
          <w:lang w:val="en-US"/>
        </w:rPr>
        <w:t xml:space="preserve"> significant challenges. Key hurdles include improving energy efficiency, developing stable and efficient catalysts, addressing mass</w:t>
      </w:r>
      <w:r w:rsidR="00291A75">
        <w:rPr>
          <w:sz w:val="20"/>
          <w:szCs w:val="20"/>
          <w:lang w:val="en-US"/>
        </w:rPr>
        <w:t>-</w:t>
      </w:r>
      <w:r w:rsidRPr="007B37CE">
        <w:rPr>
          <w:sz w:val="20"/>
          <w:szCs w:val="20"/>
          <w:lang w:val="en-US"/>
        </w:rPr>
        <w:t xml:space="preserve">transport limitations, and reducing production costs. Here, we present a technique </w:t>
      </w:r>
      <w:r w:rsidR="00546BD9">
        <w:rPr>
          <w:sz w:val="20"/>
          <w:szCs w:val="20"/>
          <w:lang w:val="en-US"/>
        </w:rPr>
        <w:t xml:space="preserve">called </w:t>
      </w:r>
      <w:r w:rsidR="00C83D13">
        <w:rPr>
          <w:sz w:val="20"/>
          <w:szCs w:val="20"/>
          <w:lang w:val="en-US"/>
        </w:rPr>
        <w:t xml:space="preserve">Brush plating </w:t>
      </w:r>
      <w:r w:rsidRPr="007B37CE">
        <w:rPr>
          <w:sz w:val="20"/>
          <w:szCs w:val="20"/>
          <w:lang w:val="en-US"/>
        </w:rPr>
        <w:t xml:space="preserve">for </w:t>
      </w:r>
      <w:r w:rsidR="00291A75">
        <w:rPr>
          <w:sz w:val="20"/>
          <w:szCs w:val="20"/>
          <w:lang w:val="en-US"/>
        </w:rPr>
        <w:t xml:space="preserve">the </w:t>
      </w:r>
      <w:r w:rsidRPr="007B37CE">
        <w:rPr>
          <w:sz w:val="20"/>
          <w:szCs w:val="20"/>
          <w:lang w:val="en-US"/>
        </w:rPr>
        <w:t>fabricati</w:t>
      </w:r>
      <w:r w:rsidR="00291A75">
        <w:rPr>
          <w:sz w:val="20"/>
          <w:szCs w:val="20"/>
          <w:lang w:val="en-US"/>
        </w:rPr>
        <w:t>on of</w:t>
      </w:r>
      <w:r w:rsidRPr="007B37CE">
        <w:rPr>
          <w:sz w:val="20"/>
          <w:szCs w:val="20"/>
          <w:lang w:val="en-US"/>
        </w:rPr>
        <w:t xml:space="preserve"> an Ag-based gas diffusion electrode (GDE) that </w:t>
      </w:r>
      <w:r w:rsidR="007C4370" w:rsidRPr="007B37CE">
        <w:rPr>
          <w:sz w:val="20"/>
          <w:szCs w:val="20"/>
          <w:lang w:val="en-US"/>
        </w:rPr>
        <w:t xml:space="preserve">can be </w:t>
      </w:r>
      <w:r w:rsidR="00EA108C" w:rsidRPr="007B37CE">
        <w:rPr>
          <w:sz w:val="20"/>
          <w:szCs w:val="20"/>
          <w:lang w:val="en-US"/>
        </w:rPr>
        <w:t>utilized as a cathode for ECO</w:t>
      </w:r>
      <w:r w:rsidR="00EA108C" w:rsidRPr="007B37CE">
        <w:rPr>
          <w:sz w:val="20"/>
          <w:szCs w:val="20"/>
          <w:vertAlign w:val="subscript"/>
          <w:lang w:val="en-US"/>
        </w:rPr>
        <w:t>2</w:t>
      </w:r>
      <w:r w:rsidR="00EA108C" w:rsidRPr="007B37CE">
        <w:rPr>
          <w:sz w:val="20"/>
          <w:szCs w:val="20"/>
          <w:lang w:val="en-US"/>
        </w:rPr>
        <w:t>RR in a zero-gap electrolyzer</w:t>
      </w:r>
      <w:r w:rsidRPr="007B37CE">
        <w:rPr>
          <w:sz w:val="20"/>
          <w:szCs w:val="20"/>
          <w:lang w:val="en-US"/>
        </w:rPr>
        <w:t xml:space="preserve">. </w:t>
      </w:r>
      <w:r w:rsidR="00CF3511" w:rsidRPr="007B37CE">
        <w:rPr>
          <w:sz w:val="20"/>
          <w:szCs w:val="20"/>
          <w:lang w:val="en-US"/>
        </w:rPr>
        <w:t xml:space="preserve">Unlike traditional electrodes that </w:t>
      </w:r>
      <w:r w:rsidR="00EA108C" w:rsidRPr="007B37CE">
        <w:rPr>
          <w:sz w:val="20"/>
          <w:szCs w:val="20"/>
          <w:lang w:val="en-US"/>
        </w:rPr>
        <w:t xml:space="preserve">use binders, this </w:t>
      </w:r>
      <w:r w:rsidR="0062434F" w:rsidRPr="007B37CE">
        <w:rPr>
          <w:sz w:val="20"/>
          <w:szCs w:val="20"/>
          <w:lang w:val="en-US"/>
        </w:rPr>
        <w:t xml:space="preserve">binder-free approach </w:t>
      </w:r>
      <w:r w:rsidR="00EA108C" w:rsidRPr="007B37CE">
        <w:rPr>
          <w:sz w:val="20"/>
          <w:szCs w:val="20"/>
          <w:lang w:val="en-US"/>
        </w:rPr>
        <w:t>deposits the Ag catalyst exclusively on the GDE's top surface</w:t>
      </w:r>
      <w:r w:rsidR="00CF3511" w:rsidRPr="007B37CE">
        <w:rPr>
          <w:sz w:val="20"/>
          <w:szCs w:val="20"/>
          <w:lang w:val="en-US"/>
        </w:rPr>
        <w:t xml:space="preserve">. </w:t>
      </w:r>
      <w:r w:rsidR="00CF3511" w:rsidRPr="007B37CE">
        <w:rPr>
          <w:color w:val="000000" w:themeColor="text1"/>
          <w:sz w:val="20"/>
          <w:szCs w:val="20"/>
        </w:rPr>
        <w:t xml:space="preserve">This was further confirmed by cross-sectional FE-SEM and EDX analyses, </w:t>
      </w:r>
      <w:r w:rsidR="00EA108C" w:rsidRPr="007B37CE">
        <w:rPr>
          <w:color w:val="000000" w:themeColor="text1"/>
          <w:sz w:val="20"/>
          <w:szCs w:val="20"/>
        </w:rPr>
        <w:t>which ensured effective CO</w:t>
      </w:r>
      <w:r w:rsidR="00EA108C" w:rsidRPr="007B37CE">
        <w:rPr>
          <w:color w:val="000000" w:themeColor="text1"/>
          <w:sz w:val="20"/>
          <w:szCs w:val="20"/>
          <w:vertAlign w:val="subscript"/>
        </w:rPr>
        <w:t>2</w:t>
      </w:r>
      <w:r w:rsidR="00EA108C" w:rsidRPr="007B37CE">
        <w:rPr>
          <w:color w:val="000000" w:themeColor="text1"/>
          <w:sz w:val="20"/>
          <w:szCs w:val="20"/>
        </w:rPr>
        <w:t xml:space="preserve"> accessibility across</w:t>
      </w:r>
      <w:r w:rsidR="00CF3511" w:rsidRPr="007B37CE">
        <w:rPr>
          <w:color w:val="000000" w:themeColor="text1"/>
          <w:sz w:val="20"/>
          <w:szCs w:val="20"/>
        </w:rPr>
        <w:t xml:space="preserve"> the entire catalyst surface.</w:t>
      </w:r>
      <w:r w:rsidR="00CF3511" w:rsidRPr="007B37CE">
        <w:rPr>
          <w:color w:val="000000" w:themeColor="text1"/>
          <w:sz w:val="20"/>
          <w:szCs w:val="20"/>
          <w:lang w:val="en-US"/>
        </w:rPr>
        <w:t xml:space="preserve"> While performing ECO</w:t>
      </w:r>
      <w:r w:rsidR="00CF3511" w:rsidRPr="007B37CE">
        <w:rPr>
          <w:color w:val="000000" w:themeColor="text1"/>
          <w:sz w:val="20"/>
          <w:szCs w:val="20"/>
          <w:vertAlign w:val="subscript"/>
          <w:lang w:val="en-US"/>
        </w:rPr>
        <w:t>2</w:t>
      </w:r>
      <w:r w:rsidR="00CF3511" w:rsidRPr="007B37CE">
        <w:rPr>
          <w:color w:val="000000" w:themeColor="text1"/>
          <w:sz w:val="20"/>
          <w:szCs w:val="20"/>
          <w:lang w:val="en-US"/>
        </w:rPr>
        <w:t xml:space="preserve">RR in a zero-gap </w:t>
      </w:r>
      <w:r w:rsidR="00EA108C" w:rsidRPr="007B37CE">
        <w:rPr>
          <w:color w:val="000000" w:themeColor="text1"/>
          <w:sz w:val="20"/>
          <w:szCs w:val="20"/>
          <w:lang w:val="en-US"/>
        </w:rPr>
        <w:t>electrolyzer</w:t>
      </w:r>
      <w:r w:rsidR="00CF3511" w:rsidRPr="007B37CE">
        <w:rPr>
          <w:color w:val="000000" w:themeColor="text1"/>
          <w:sz w:val="20"/>
          <w:szCs w:val="20"/>
          <w:lang w:val="en-US"/>
        </w:rPr>
        <w:t xml:space="preserve"> </w:t>
      </w:r>
      <w:bookmarkEnd w:id="0"/>
      <w:r w:rsidR="00EA108C" w:rsidRPr="007B37CE">
        <w:rPr>
          <w:sz w:val="20"/>
          <w:szCs w:val="20"/>
          <w:lang w:val="en-US"/>
        </w:rPr>
        <w:t>with Nickel (Ni) foam anode, this Ag electrocatalyst achieved 90% average Faradaic efficiency (FE) for CO and 49.5% Energy Efficiency (EE), for CO</w:t>
      </w:r>
      <w:r w:rsidR="00EA108C" w:rsidRPr="007B37CE">
        <w:rPr>
          <w:sz w:val="20"/>
          <w:szCs w:val="20"/>
          <w:vertAlign w:val="subscript"/>
          <w:lang w:val="en-US"/>
        </w:rPr>
        <w:t>2</w:t>
      </w:r>
      <w:r w:rsidR="00EA108C" w:rsidRPr="007B37CE">
        <w:rPr>
          <w:sz w:val="20"/>
          <w:szCs w:val="20"/>
          <w:lang w:val="en-US"/>
        </w:rPr>
        <w:t xml:space="preserve"> to CO conversion at a current density of 100 mA/cm</w:t>
      </w:r>
      <w:r w:rsidR="00EA108C" w:rsidRPr="007B37CE">
        <w:rPr>
          <w:sz w:val="20"/>
          <w:szCs w:val="20"/>
          <w:vertAlign w:val="superscript"/>
          <w:lang w:val="en-US"/>
        </w:rPr>
        <w:t>2</w:t>
      </w:r>
      <w:r w:rsidR="00EA108C" w:rsidRPr="007B37CE">
        <w:rPr>
          <w:sz w:val="20"/>
          <w:szCs w:val="20"/>
          <w:lang w:val="en-US"/>
        </w:rPr>
        <w:t xml:space="preserve"> for the initial 94 h of a total of 98 h of continuous operation. Thus, this brush-plated electrode shows promise for preparing large-sized electrodes for industrial applications.</w:t>
      </w:r>
    </w:p>
    <w:sectPr w:rsidR="00137C4C" w:rsidRPr="007B37CE" w:rsidSect="00950544">
      <w:pgSz w:w="11906" w:h="16838" w:code="9"/>
      <w:pgMar w:top="1701" w:right="1701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9A6"/>
    <w:rsid w:val="00015710"/>
    <w:rsid w:val="00071288"/>
    <w:rsid w:val="00137C4C"/>
    <w:rsid w:val="00287AF8"/>
    <w:rsid w:val="00291A75"/>
    <w:rsid w:val="002F0FDC"/>
    <w:rsid w:val="00357AA6"/>
    <w:rsid w:val="003F4B94"/>
    <w:rsid w:val="00403175"/>
    <w:rsid w:val="0053485A"/>
    <w:rsid w:val="00546BD9"/>
    <w:rsid w:val="005E3659"/>
    <w:rsid w:val="00620510"/>
    <w:rsid w:val="0062434F"/>
    <w:rsid w:val="006852D6"/>
    <w:rsid w:val="00714569"/>
    <w:rsid w:val="007201E6"/>
    <w:rsid w:val="007366D5"/>
    <w:rsid w:val="0075302D"/>
    <w:rsid w:val="00764899"/>
    <w:rsid w:val="007B37CE"/>
    <w:rsid w:val="007C4370"/>
    <w:rsid w:val="008B35EE"/>
    <w:rsid w:val="00950544"/>
    <w:rsid w:val="0095590B"/>
    <w:rsid w:val="00A53D83"/>
    <w:rsid w:val="00A555F9"/>
    <w:rsid w:val="00B228B6"/>
    <w:rsid w:val="00B53B3D"/>
    <w:rsid w:val="00B75E42"/>
    <w:rsid w:val="00BC1AA2"/>
    <w:rsid w:val="00BE5837"/>
    <w:rsid w:val="00C17E10"/>
    <w:rsid w:val="00C639A6"/>
    <w:rsid w:val="00C83D13"/>
    <w:rsid w:val="00CE178F"/>
    <w:rsid w:val="00CF3511"/>
    <w:rsid w:val="00DC3176"/>
    <w:rsid w:val="00E81BD2"/>
    <w:rsid w:val="00EA108C"/>
    <w:rsid w:val="00EA74F3"/>
    <w:rsid w:val="00F600F3"/>
    <w:rsid w:val="00F75314"/>
    <w:rsid w:val="00F94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A6D2E8"/>
  <w15:chartTrackingRefBased/>
  <w15:docId w15:val="{3EF17B80-083A-49FD-B18E-284B339A4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39A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" w:eastAsia="en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39A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39A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39A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39A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39A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39A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39A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39A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39A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39A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39A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39A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39A6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39A6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39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39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39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39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39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639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39A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639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39A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639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39A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639A6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39A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39A6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39A6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639A6"/>
    <w:rPr>
      <w:color w:val="0563C1" w:themeColor="hyperlink"/>
      <w:u w:val="single"/>
    </w:rPr>
  </w:style>
  <w:style w:type="paragraph" w:customStyle="1" w:styleId="BBAuthorName">
    <w:name w:val="BB_Author_Name"/>
    <w:basedOn w:val="Normal"/>
    <w:next w:val="BCAuthorAddress"/>
    <w:rsid w:val="00C639A6"/>
    <w:pPr>
      <w:spacing w:after="240" w:line="480" w:lineRule="auto"/>
      <w:jc w:val="center"/>
    </w:pPr>
    <w:rPr>
      <w:rFonts w:ascii="Times" w:hAnsi="Times"/>
      <w:i/>
      <w:szCs w:val="20"/>
      <w:lang w:val="en-US" w:eastAsia="en-US"/>
    </w:rPr>
  </w:style>
  <w:style w:type="paragraph" w:customStyle="1" w:styleId="BCAuthorAddress">
    <w:name w:val="BC_Author_Address"/>
    <w:basedOn w:val="Normal"/>
    <w:next w:val="BIEmailAddress"/>
    <w:rsid w:val="00C639A6"/>
    <w:pPr>
      <w:spacing w:after="240" w:line="480" w:lineRule="auto"/>
      <w:jc w:val="center"/>
    </w:pPr>
    <w:rPr>
      <w:rFonts w:ascii="Times" w:hAnsi="Times"/>
      <w:szCs w:val="20"/>
      <w:lang w:val="en-US" w:eastAsia="en-US"/>
    </w:rPr>
  </w:style>
  <w:style w:type="paragraph" w:customStyle="1" w:styleId="BIEmailAddress">
    <w:name w:val="BI_Email_Address"/>
    <w:basedOn w:val="Normal"/>
    <w:next w:val="Normal"/>
    <w:rsid w:val="00C639A6"/>
    <w:pPr>
      <w:spacing w:after="200" w:line="480" w:lineRule="auto"/>
      <w:jc w:val="both"/>
    </w:pPr>
    <w:rPr>
      <w:rFonts w:ascii="Times" w:hAnsi="Times"/>
      <w:szCs w:val="20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9559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initk@iitk.ac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Vineet Kumar</dc:creator>
  <cp:keywords/>
  <dc:description/>
  <cp:lastModifiedBy>Vineet Kumar</cp:lastModifiedBy>
  <cp:revision>38</cp:revision>
  <dcterms:created xsi:type="dcterms:W3CDTF">2025-12-04T09:12:00Z</dcterms:created>
  <dcterms:modified xsi:type="dcterms:W3CDTF">2026-05-27T18:32:00Z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346a5a63-e252-4161-b8f1-7457eb1917f7</vt:lpwstr>
  </property>
</Properties>
</file>