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8FC1C" w14:textId="77777777" w:rsidR="00A04ADC" w:rsidRDefault="00000000">
      <w:pPr>
        <w:jc w:val="center"/>
      </w:pPr>
      <w:r>
        <w:rPr>
          <w:b/>
          <w:bCs/>
          <w:sz w:val="28"/>
          <w:szCs w:val="28"/>
        </w:rPr>
        <w:t>Surfactant Doping Effect on the Performance of Gold Nanocluster Modified Electrodes for CO</w:t>
      </w:r>
      <w:r>
        <w:rPr>
          <w:b/>
          <w:bCs/>
          <w:sz w:val="28"/>
          <w:szCs w:val="28"/>
          <w:vertAlign w:val="subscript"/>
        </w:rPr>
        <w:t>2</w:t>
      </w:r>
      <w:r>
        <w:rPr>
          <w:b/>
          <w:bCs/>
          <w:sz w:val="28"/>
          <w:szCs w:val="28"/>
        </w:rPr>
        <w:t xml:space="preserve"> Electroreduction</w:t>
      </w:r>
    </w:p>
    <w:p w14:paraId="7A9CBBD3" w14:textId="77777777" w:rsidR="00A04ADC" w:rsidRDefault="00A04ADC"/>
    <w:p w14:paraId="17BBB5EA" w14:textId="6909804B" w:rsidR="00A04ADC" w:rsidRDefault="0081668C" w:rsidP="0081668C">
      <w:pPr>
        <w:jc w:val="center"/>
      </w:pPr>
      <w:r w:rsidRPr="00B64F6E">
        <w:rPr>
          <w:u w:val="single"/>
        </w:rPr>
        <w:t>Mostafa Torabi</w:t>
      </w:r>
      <w:r w:rsidRPr="00B64F6E">
        <w:t xml:space="preserve">, </w:t>
      </w:r>
      <w:r w:rsidRPr="00B64F6E">
        <w:rPr>
          <w:lang w:val="pl-PL"/>
        </w:rPr>
        <w:t xml:space="preserve">Michalina Zaborowska-Mazurkiewicz, </w:t>
      </w:r>
      <w:r w:rsidRPr="00B64F6E">
        <w:t>Renata Bilewicz</w:t>
      </w:r>
      <w:r w:rsidR="00F636FF">
        <w:t>*</w:t>
      </w:r>
    </w:p>
    <w:p w14:paraId="173E9658" w14:textId="77777777" w:rsidR="00A04ADC" w:rsidRDefault="00000000">
      <w:pPr>
        <w:jc w:val="center"/>
      </w:pPr>
      <w:r>
        <w:rPr>
          <w:i/>
          <w:iCs/>
        </w:rPr>
        <w:t>University of Warsaw, Faculty of Chemistry, Pasteura 1, 02-093 Warsaw, Poland</w:t>
      </w:r>
    </w:p>
    <w:p w14:paraId="571A7A9F" w14:textId="77777777" w:rsidR="00A04ADC" w:rsidRDefault="00000000">
      <w:pPr>
        <w:jc w:val="center"/>
      </w:pPr>
      <w:r>
        <w:rPr>
          <w:i/>
          <w:iCs/>
        </w:rPr>
        <w:t>m.torabi@uw.edu.pl</w:t>
      </w:r>
    </w:p>
    <w:p w14:paraId="2DDEF8A2" w14:textId="77777777" w:rsidR="00A04ADC" w:rsidRDefault="00A04ADC"/>
    <w:p w14:paraId="5DF534A5" w14:textId="77777777" w:rsidR="00A04ADC" w:rsidRDefault="00000000">
      <w:pPr>
        <w:jc w:val="both"/>
      </w:pPr>
      <w:r>
        <w:t>Electrochemical CO</w:t>
      </w:r>
      <w:r>
        <w:rPr>
          <w:vertAlign w:val="subscript"/>
        </w:rPr>
        <w:t>2</w:t>
      </w:r>
      <w:r>
        <w:t xml:space="preserve"> reduction (CO</w:t>
      </w:r>
      <w:r>
        <w:rPr>
          <w:vertAlign w:val="subscript"/>
        </w:rPr>
        <w:t>2</w:t>
      </w:r>
      <w:r>
        <w:t>RR) is a promising approach for converting CO</w:t>
      </w:r>
      <w:r>
        <w:rPr>
          <w:vertAlign w:val="subscript"/>
        </w:rPr>
        <w:t>2</w:t>
      </w:r>
      <w:r>
        <w:t xml:space="preserve"> into valuable chemicals while mitigating its atmospheric accumulation. Advancing this technology requires precise surface engineering strategies that improve reaction selectivity, maximize active-site utilization, and suppress the competing hydrogen evolution reaction (HER). In this work, HOPG electrodes were modified with atomically precise Au</w:t>
      </w:r>
      <w:r>
        <w:rPr>
          <w:vertAlign w:val="subscript"/>
        </w:rPr>
        <w:t>25</w:t>
      </w:r>
      <w:r>
        <w:t>(SC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18</w:t>
      </w:r>
      <w:r>
        <w:t xml:space="preserve"> nanoclusters (AuNCs) co-assembled with the cationic surfactant didodecyldimethylammonium bromide (DDAB) using the Langmuir–Schaefer (LS) deposition technique. By tuning the AuNCs/DDAB molar ratio and deposition surface pressure, this strategy enables independent control over nanocluster spatial distribution, interfacial charge environment, and electrode hydrophobicity.</w:t>
      </w:r>
    </w:p>
    <w:p w14:paraId="22F176F5" w14:textId="77777777" w:rsidR="00A04ADC" w:rsidRDefault="00A04ADC"/>
    <w:p w14:paraId="246D66C1" w14:textId="77777777" w:rsidR="00A04ADC" w:rsidRDefault="00000000">
      <w:pPr>
        <w:jc w:val="both"/>
      </w:pPr>
      <w:r>
        <w:t>Surface pressure–area isotherms, surface potential measurements, contact angle analysis, and AFM imaging revealed that DDAB content critically governs film organization and morphology. At low doping levels (≤10 mol%), DDAB promotes uniform nanocluster dispersion into compact monolayers with well-preserved hydrophobicity, conditions that locally enrich CO</w:t>
      </w:r>
      <w:r>
        <w:rPr>
          <w:vertAlign w:val="subscript"/>
        </w:rPr>
        <w:t>2</w:t>
      </w:r>
      <w:r>
        <w:t xml:space="preserve"> concentration near the electrode and reduce water interference. At higher DDAB fractions, surfactant-dominated packing progressively displaces nanoclusters, forming multilayered aggregates and disrupting the hydrophobic microenvironment important for CO</w:t>
      </w:r>
      <w:r>
        <w:rPr>
          <w:vertAlign w:val="subscript"/>
        </w:rPr>
        <w:t>2</w:t>
      </w:r>
      <w:r>
        <w:t>RR selectivity.</w:t>
      </w:r>
    </w:p>
    <w:p w14:paraId="140BB41C" w14:textId="77777777" w:rsidR="00A04ADC" w:rsidRDefault="00A04ADC"/>
    <w:p w14:paraId="20096047" w14:textId="3FAD562A" w:rsidR="00A04ADC" w:rsidRDefault="00000000">
      <w:pPr>
        <w:jc w:val="both"/>
      </w:pPr>
      <w:r>
        <w:t>Electrochemical characterization in CO</w:t>
      </w:r>
      <w:r>
        <w:rPr>
          <w:vertAlign w:val="subscript"/>
        </w:rPr>
        <w:t>2</w:t>
      </w:r>
      <w:r>
        <w:t>-saturated 0.1 M NaHCO</w:t>
      </w:r>
      <w:r>
        <w:rPr>
          <w:vertAlign w:val="subscript"/>
        </w:rPr>
        <w:t>3</w:t>
      </w:r>
      <w:r>
        <w:t xml:space="preserve"> confirmed that the AuNCs/DDAB 95/5% film deposited at 10 mN/m delivers the best CO</w:t>
      </w:r>
      <w:r>
        <w:rPr>
          <w:vertAlign w:val="subscript"/>
        </w:rPr>
        <w:t>2</w:t>
      </w:r>
      <w:r>
        <w:t xml:space="preserve">RR activity, achieving a 19-fold reduction in charge-transfer resistance relative to bare HOPG and the highest double-layer capacitance among all tested compositions. At 5% DDAB, the surfactant optimally balances two complementary roles: preventing nanocluster aggregation during LS transfer to maximize exposed active </w:t>
      </w:r>
      <w:r w:rsidR="00772F93">
        <w:t>sites and</w:t>
      </w:r>
      <w:r>
        <w:t xml:space="preserve"> sustaining a hydrophobic microenvironment that enriches CO</w:t>
      </w:r>
      <w:r>
        <w:rPr>
          <w:vertAlign w:val="subscript"/>
        </w:rPr>
        <w:t>2</w:t>
      </w:r>
      <w:r>
        <w:t xml:space="preserve"> at the surface and suppresses HER. These results demonstrate that combining Au</w:t>
      </w:r>
      <w:r>
        <w:rPr>
          <w:vertAlign w:val="subscript"/>
        </w:rPr>
        <w:t>25</w:t>
      </w:r>
      <w:r>
        <w:t>(SC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18</w:t>
      </w:r>
      <w:r>
        <w:t xml:space="preserve"> nanoclusters with a judiciously doped cationic surfactant is an effective strategy for engineering the electrode microenvironment and enhancing electrocatalytic CO</w:t>
      </w:r>
      <w:r>
        <w:rPr>
          <w:vertAlign w:val="subscript"/>
        </w:rPr>
        <w:t>2</w:t>
      </w:r>
      <w:r>
        <w:t xml:space="preserve"> reduction performance.</w:t>
      </w:r>
    </w:p>
    <w:p w14:paraId="22BF4FEC" w14:textId="77777777" w:rsidR="00A04ADC" w:rsidRDefault="00A04ADC"/>
    <w:p w14:paraId="17BDF915" w14:textId="778E38BD" w:rsidR="00A04ADC" w:rsidRDefault="000968AC" w:rsidP="000968AC">
      <w:pPr>
        <w:jc w:val="center"/>
      </w:pPr>
      <w:r>
        <w:rPr>
          <w:noProof/>
        </w:rPr>
        <w:drawing>
          <wp:inline distT="0" distB="0" distL="0" distR="0" wp14:anchorId="00918E39" wp14:editId="655D7F64">
            <wp:extent cx="3529012" cy="1900237"/>
            <wp:effectExtent l="0" t="0" r="0" b="5080"/>
            <wp:docPr id="1093226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744" cy="190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47FF3" w14:textId="77777777" w:rsidR="000968AC" w:rsidRDefault="000968AC" w:rsidP="000968AC">
      <w:pPr>
        <w:jc w:val="center"/>
      </w:pPr>
    </w:p>
    <w:p w14:paraId="6E094AA8" w14:textId="77777777" w:rsidR="00A04ADC" w:rsidRDefault="00000000">
      <w:pPr>
        <w:jc w:val="both"/>
      </w:pPr>
      <w:r>
        <w:rPr>
          <w:b/>
          <w:bCs/>
        </w:rPr>
        <w:t xml:space="preserve">Keywords: </w:t>
      </w:r>
      <w:r>
        <w:t>Gold nanoclusters; CO</w:t>
      </w:r>
      <w:r>
        <w:rPr>
          <w:vertAlign w:val="subscript"/>
        </w:rPr>
        <w:t>2</w:t>
      </w:r>
      <w:r>
        <w:t xml:space="preserve"> electroreduction; Langmuir–Schaefer films; Surface hydrophobicity; DDAB surfactant; Electrochemical impedance spectroscopy.</w:t>
      </w:r>
    </w:p>
    <w:p w14:paraId="7581F96D" w14:textId="77777777" w:rsidR="00A04ADC" w:rsidRDefault="00A04ADC"/>
    <w:p w14:paraId="164AC81B" w14:textId="77777777" w:rsidR="00A04ADC" w:rsidRDefault="00000000">
      <w:r>
        <w:rPr>
          <w:b/>
          <w:bCs/>
        </w:rPr>
        <w:t>References</w:t>
      </w:r>
    </w:p>
    <w:p w14:paraId="4DEB70E0" w14:textId="77777777" w:rsidR="00A04ADC" w:rsidRDefault="00000000">
      <w:pPr>
        <w:ind w:left="360" w:hanging="360"/>
        <w:jc w:val="both"/>
      </w:pPr>
      <w:r>
        <w:t xml:space="preserve">[1] Torabi, M. et al. </w:t>
      </w:r>
      <w:r>
        <w:rPr>
          <w:i/>
          <w:iCs/>
        </w:rPr>
        <w:t>Langmuir</w:t>
      </w:r>
      <w:r>
        <w:t xml:space="preserve"> 2026, 42, 6983–6993.</w:t>
      </w:r>
    </w:p>
    <w:p w14:paraId="5C561CA3" w14:textId="77777777" w:rsidR="00A04ADC" w:rsidRDefault="00000000">
      <w:pPr>
        <w:ind w:left="360" w:hanging="360"/>
        <w:jc w:val="both"/>
      </w:pPr>
      <w:r>
        <w:t xml:space="preserve">[2] Ge, W. et al. </w:t>
      </w:r>
      <w:r>
        <w:rPr>
          <w:i/>
          <w:iCs/>
        </w:rPr>
        <w:t>J. Am. Chem. Soc.</w:t>
      </w:r>
      <w:r>
        <w:t xml:space="preserve"> 2022, 144, 6613–6622.</w:t>
      </w:r>
    </w:p>
    <w:p w14:paraId="6E957C31" w14:textId="77777777" w:rsidR="00A04ADC" w:rsidRDefault="00000000">
      <w:pPr>
        <w:ind w:left="360" w:hanging="360"/>
        <w:jc w:val="both"/>
      </w:pPr>
      <w:r>
        <w:t xml:space="preserve">[3] Li, S. et al. </w:t>
      </w:r>
      <w:r>
        <w:rPr>
          <w:i/>
          <w:iCs/>
        </w:rPr>
        <w:t>Angew. Chem. Int. Ed.</w:t>
      </w:r>
      <w:r>
        <w:t xml:space="preserve"> 2021, 60, 6351–6356.</w:t>
      </w:r>
    </w:p>
    <w:sectPr w:rsidR="00A04ADC">
      <w:pgSz w:w="11906" w:h="16838"/>
      <w:pgMar w:top="1701" w:right="1701" w:bottom="170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1402D"/>
    <w:multiLevelType w:val="hybridMultilevel"/>
    <w:tmpl w:val="957C35CE"/>
    <w:lvl w:ilvl="0" w:tplc="80BE9F96">
      <w:start w:val="1"/>
      <w:numFmt w:val="bullet"/>
      <w:lvlText w:val="●"/>
      <w:lvlJc w:val="left"/>
      <w:pPr>
        <w:ind w:left="720" w:hanging="360"/>
      </w:pPr>
    </w:lvl>
    <w:lvl w:ilvl="1" w:tplc="E5187B18">
      <w:start w:val="1"/>
      <w:numFmt w:val="bullet"/>
      <w:lvlText w:val="○"/>
      <w:lvlJc w:val="left"/>
      <w:pPr>
        <w:ind w:left="1440" w:hanging="360"/>
      </w:pPr>
    </w:lvl>
    <w:lvl w:ilvl="2" w:tplc="ED6AAE16">
      <w:start w:val="1"/>
      <w:numFmt w:val="bullet"/>
      <w:lvlText w:val="■"/>
      <w:lvlJc w:val="left"/>
      <w:pPr>
        <w:ind w:left="2160" w:hanging="360"/>
      </w:pPr>
    </w:lvl>
    <w:lvl w:ilvl="3" w:tplc="13D066B8">
      <w:start w:val="1"/>
      <w:numFmt w:val="bullet"/>
      <w:lvlText w:val="●"/>
      <w:lvlJc w:val="left"/>
      <w:pPr>
        <w:ind w:left="2880" w:hanging="360"/>
      </w:pPr>
    </w:lvl>
    <w:lvl w:ilvl="4" w:tplc="109CB64C">
      <w:start w:val="1"/>
      <w:numFmt w:val="bullet"/>
      <w:lvlText w:val="○"/>
      <w:lvlJc w:val="left"/>
      <w:pPr>
        <w:ind w:left="3600" w:hanging="360"/>
      </w:pPr>
    </w:lvl>
    <w:lvl w:ilvl="5" w:tplc="049E7276">
      <w:start w:val="1"/>
      <w:numFmt w:val="bullet"/>
      <w:lvlText w:val="■"/>
      <w:lvlJc w:val="left"/>
      <w:pPr>
        <w:ind w:left="4320" w:hanging="360"/>
      </w:pPr>
    </w:lvl>
    <w:lvl w:ilvl="6" w:tplc="8CFC1D38">
      <w:start w:val="1"/>
      <w:numFmt w:val="bullet"/>
      <w:lvlText w:val="●"/>
      <w:lvlJc w:val="left"/>
      <w:pPr>
        <w:ind w:left="5040" w:hanging="360"/>
      </w:pPr>
    </w:lvl>
    <w:lvl w:ilvl="7" w:tplc="41827BDA">
      <w:start w:val="1"/>
      <w:numFmt w:val="bullet"/>
      <w:lvlText w:val="●"/>
      <w:lvlJc w:val="left"/>
      <w:pPr>
        <w:ind w:left="5760" w:hanging="360"/>
      </w:pPr>
    </w:lvl>
    <w:lvl w:ilvl="8" w:tplc="E36EA52E">
      <w:start w:val="1"/>
      <w:numFmt w:val="bullet"/>
      <w:lvlText w:val="●"/>
      <w:lvlJc w:val="left"/>
      <w:pPr>
        <w:ind w:left="6480" w:hanging="360"/>
      </w:pPr>
    </w:lvl>
  </w:abstractNum>
  <w:num w:numId="1" w16cid:durableId="6840140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ADC"/>
    <w:rsid w:val="00015493"/>
    <w:rsid w:val="000968AC"/>
    <w:rsid w:val="00193D85"/>
    <w:rsid w:val="00772F93"/>
    <w:rsid w:val="0081668C"/>
    <w:rsid w:val="00A04ADC"/>
    <w:rsid w:val="00D07BE0"/>
    <w:rsid w:val="00F6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B6203"/>
  <w15:docId w15:val="{04BA49FA-EEA3-47CC-AB17-E5906FC5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Mostafa Torabi</cp:lastModifiedBy>
  <cp:revision>7</cp:revision>
  <dcterms:created xsi:type="dcterms:W3CDTF">2026-05-30T12:09:00Z</dcterms:created>
  <dcterms:modified xsi:type="dcterms:W3CDTF">2026-05-30T19:40:00Z</dcterms:modified>
</cp:coreProperties>
</file>