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FD8BB" w14:textId="3083ECEA" w:rsidR="00325004" w:rsidRPr="00A86EB9" w:rsidRDefault="00892151" w:rsidP="00E0716D">
      <w:pPr>
        <w:jc w:val="center"/>
        <w:rPr>
          <w:b/>
          <w:sz w:val="28"/>
        </w:rPr>
      </w:pPr>
      <w:r>
        <w:rPr>
          <w:b/>
          <w:sz w:val="28"/>
        </w:rPr>
        <w:t>Li-N-H Speciation in Molten LiCl-KCl-</w:t>
      </w:r>
      <w:proofErr w:type="spellStart"/>
      <w:r>
        <w:rPr>
          <w:b/>
          <w:sz w:val="28"/>
        </w:rPr>
        <w:t>CsCl</w:t>
      </w:r>
      <w:proofErr w:type="spellEnd"/>
      <w:r>
        <w:rPr>
          <w:b/>
          <w:sz w:val="28"/>
        </w:rPr>
        <w:t xml:space="preserve"> Eutectic with Operando Gas Analysis</w:t>
      </w:r>
    </w:p>
    <w:p w14:paraId="76DA5D8A" w14:textId="77777777" w:rsidR="00325004" w:rsidRPr="00A86EB9" w:rsidRDefault="00325004" w:rsidP="00E0716D">
      <w:pPr>
        <w:jc w:val="center"/>
        <w:rPr>
          <w:b/>
          <w:sz w:val="28"/>
        </w:rPr>
      </w:pPr>
    </w:p>
    <w:p w14:paraId="32436EA5" w14:textId="60F512A3" w:rsidR="00325004" w:rsidRDefault="00892151" w:rsidP="00E0716D">
      <w:pPr>
        <w:jc w:val="center"/>
      </w:pPr>
      <w:r>
        <w:rPr>
          <w:u w:val="single"/>
        </w:rPr>
        <w:t>Pooja Dhami</w:t>
      </w:r>
      <w:r w:rsidR="00325004">
        <w:t xml:space="preserve">, </w:t>
      </w:r>
      <w:r>
        <w:t>Ian J. McPherson</w:t>
      </w:r>
    </w:p>
    <w:p w14:paraId="5FF87EFD" w14:textId="69D64FB6" w:rsidR="00325004" w:rsidRPr="00A86EB9" w:rsidRDefault="00892151" w:rsidP="00E0716D">
      <w:pPr>
        <w:jc w:val="center"/>
        <w:rPr>
          <w:i/>
        </w:rPr>
      </w:pPr>
      <w:r>
        <w:rPr>
          <w:i/>
        </w:rPr>
        <w:t>Loughborough University</w:t>
      </w:r>
    </w:p>
    <w:p w14:paraId="5B2CA1F3" w14:textId="3C9FFD90" w:rsidR="00325004" w:rsidRDefault="00892151" w:rsidP="00E0716D">
      <w:pPr>
        <w:jc w:val="center"/>
      </w:pPr>
      <w:r>
        <w:rPr>
          <w:i/>
        </w:rPr>
        <w:t>Loughborough, United Kingdom</w:t>
      </w:r>
    </w:p>
    <w:p w14:paraId="5A4DD2A6" w14:textId="340A073D" w:rsidR="00685C1A" w:rsidRPr="00685C1A" w:rsidRDefault="00892151" w:rsidP="00E0716D">
      <w:pPr>
        <w:jc w:val="center"/>
        <w:rPr>
          <w:i/>
        </w:rPr>
      </w:pPr>
      <w:r>
        <w:rPr>
          <w:i/>
        </w:rPr>
        <w:t>p.p.dhami@lboro.ac.uk</w:t>
      </w:r>
    </w:p>
    <w:p w14:paraId="76970F4E" w14:textId="77777777" w:rsidR="00325004" w:rsidRDefault="00325004" w:rsidP="00E0716D">
      <w:pPr>
        <w:jc w:val="center"/>
      </w:pPr>
    </w:p>
    <w:p w14:paraId="36A0B5CB" w14:textId="77777777" w:rsidR="00892151" w:rsidRDefault="00892151" w:rsidP="00E0716D">
      <w:pPr>
        <w:jc w:val="both"/>
      </w:pPr>
    </w:p>
    <w:p w14:paraId="5B74E273" w14:textId="271C67B8" w:rsidR="00892151" w:rsidRDefault="00892151" w:rsidP="00892151">
      <w:pPr>
        <w:jc w:val="both"/>
      </w:pPr>
      <w:r w:rsidRPr="005E14D0">
        <w:t xml:space="preserve">Ammonia is </w:t>
      </w:r>
      <w:r>
        <w:t>one of the</w:t>
      </w:r>
      <w:r w:rsidRPr="005E14D0">
        <w:t xml:space="preserve"> most produced chemical</w:t>
      </w:r>
      <w:r>
        <w:t>s</w:t>
      </w:r>
      <w:r w:rsidRPr="005E14D0">
        <w:t xml:space="preserve"> globally, and its demand continues to rise to sustain economic and population growth. Currently, ammonia is predominantly synthesized via the Haber-Bosch process, which accounts for 1.8% of global CO₂ emissions and 2% of global energy consumption</w:t>
      </w:r>
      <w:r>
        <w:t xml:space="preserve">, necessitating the development of alternative synthesis methods that operate using milder conditions. </w:t>
      </w:r>
      <w:r w:rsidRPr="005E14D0">
        <w:t>This wor</w:t>
      </w:r>
      <w:r>
        <w:t>k investigates nitrogen reduction reaction in a molten chloride electrolyte and aims to further the understanding of reaction pathways for a more sustainable method of ammonia production</w:t>
      </w:r>
      <w:r w:rsidR="00F0700C">
        <w:t xml:space="preserve">, which is less energy intensive and doesn’t require the high pressures needed for conventional ammonia synthesis. </w:t>
      </w:r>
    </w:p>
    <w:p w14:paraId="277E2CA1" w14:textId="77777777" w:rsidR="00892151" w:rsidRDefault="00892151" w:rsidP="00892151">
      <w:pPr>
        <w:jc w:val="both"/>
      </w:pPr>
    </w:p>
    <w:p w14:paraId="2E2036F6" w14:textId="2FF1FFAA" w:rsidR="00892151" w:rsidRDefault="00892151" w:rsidP="00892151">
      <w:pPr>
        <w:jc w:val="both"/>
      </w:pPr>
      <w:r>
        <w:t>The</w:t>
      </w:r>
      <w:r>
        <w:t xml:space="preserve"> </w:t>
      </w:r>
      <w:r w:rsidRPr="005E14D0">
        <w:t>molten</w:t>
      </w:r>
      <w:r>
        <w:t xml:space="preserve"> ternary eutectic</w:t>
      </w:r>
      <w:r w:rsidRPr="005E14D0">
        <w:t xml:space="preserve"> </w:t>
      </w:r>
      <w:r>
        <w:t>(</w:t>
      </w:r>
      <w:proofErr w:type="spellStart"/>
      <w:r w:rsidRPr="004A5C21">
        <w:t>LiCl:KCl:CsCl</w:t>
      </w:r>
      <w:proofErr w:type="spellEnd"/>
      <w:r w:rsidRPr="004A5C21">
        <w:t>, 57.5:13.3:29.2 mol%)</w:t>
      </w:r>
      <w:r w:rsidRPr="005E14D0">
        <w:t xml:space="preserve"> electrolyte</w:t>
      </w:r>
      <w:r>
        <w:t xml:space="preserve"> is used in this work enhances reaction kinetics through its high ionic conductivity and a wide electrochemical window,</w:t>
      </w:r>
      <w:r>
        <w:fldChar w:fldCharType="begin"/>
      </w:r>
      <w:r>
        <w:instrText xml:space="preserve"> ADDIN ZOTERO_ITEM CSL_CITATION {"citationID":"Msxj71E1","properties":{"formattedCitation":"\\super 1\\nosupersub{}","plainCitation":"1","noteIndex":0},"citationItems":[{"id":205,"uris":["http://zotero.org/users/12592525/items/8VP7BWYP"],"itemData":{"id":205,"type":"article-journal","container-title":"Electrochemical and Solid-State Letters","DOI":"10.1149/1.1828293","ISSN":"1944-8775","issue":"1","journalAbbreviation":"Electrochem. Solid-State Lett.","language":"en","note":"publisher: IOP Publishing","page":"E1","source":"iopscience.iop.org","title":"Electrochemical Window of a LiCl-KCl-CsCl Melt","volume":"8","author":[{"family":"Murakami","given":"T."},{"family":"Nohira","given":"T."},{"family":"Ogata","given":"Y. H."},{"family":"Ito","given":"Y."}],"issued":{"date-parts":[["2004",11,11]]},"citation-key":"murakamiElectrochemicalWindowLiClKClCsCl2004"}}],"schema":"https://github.com/citation-style-language/schema/raw/master/csl-citation.json"} </w:instrText>
      </w:r>
      <w:r>
        <w:fldChar w:fldCharType="separate"/>
      </w:r>
      <w:r w:rsidRPr="009C6D65">
        <w:rPr>
          <w:rFonts w:ascii="Aptos" w:hAnsi="Aptos"/>
          <w:vertAlign w:val="superscript"/>
        </w:rPr>
        <w:t>1</w:t>
      </w:r>
      <w:r>
        <w:fldChar w:fldCharType="end"/>
      </w:r>
      <w:r>
        <w:t xml:space="preserve"> allowing for the analysis of the redox active species over a broad potential range while also suppressing the undesirable hydrogen evolution reaction and providing a stabilizing environment for nitrogen containing intermediates. These properties make this a suitable system to study the electrochemically driven Li-N-H speciation.</w:t>
      </w:r>
    </w:p>
    <w:p w14:paraId="7744D81E" w14:textId="77777777" w:rsidR="00892151" w:rsidRDefault="00892151" w:rsidP="00892151">
      <w:pPr>
        <w:jc w:val="both"/>
      </w:pPr>
    </w:p>
    <w:p w14:paraId="24E94566" w14:textId="6115033E" w:rsidR="00892151" w:rsidRDefault="00892151" w:rsidP="00892151">
      <w:pPr>
        <w:jc w:val="both"/>
      </w:pPr>
      <w:r>
        <w:t xml:space="preserve">A </w:t>
      </w:r>
      <w:r w:rsidRPr="005E14D0">
        <w:t>custom-</w:t>
      </w:r>
      <w:r>
        <w:t>designed</w:t>
      </w:r>
      <w:r w:rsidRPr="005E14D0">
        <w:t xml:space="preserve"> </w:t>
      </w:r>
      <w:r>
        <w:t>cell was assembled</w:t>
      </w:r>
      <w:r w:rsidR="00261698">
        <w:t>,</w:t>
      </w:r>
      <w:r>
        <w:t xml:space="preserve"> compris</w:t>
      </w:r>
      <w:r w:rsidR="00261698">
        <w:t xml:space="preserve">ing </w:t>
      </w:r>
      <w:r>
        <w:t>a 3D-printed alumina crucible, porous Ni foam gas diffusion electrodes and an Ag/AgCl reference electrode. Electrochemical analysis  was carried out and signature redox peaks observed in the cyclic voltammograms were attributed to the electrochemically driven Li-N-H speciation.</w:t>
      </w:r>
      <w:r>
        <w:fldChar w:fldCharType="begin"/>
      </w:r>
      <w:r>
        <w:instrText xml:space="preserve"> ADDIN ZOTERO_ITEM CSL_CITATION {"citationID":"Uzqry6TB","properties":{"formattedCitation":"\\super 2,3\\nosupersub{}","plainCitation":"2,3","noteIndex":0},"citationItems":[{"id":494,"uris":["http://zotero.org/users/12592525/items/I7GSBHYF"],"itemData":{"id":494,"type":"article-journal","abstract":"Molten LiCl and related eutectic electrolytes are known to permit direct electrochemical reduction of N2 to N3− with high efficiency. It had been proposed that this could be coupled with H2 oxidation in an electrolytic cell to produce NH3 at ambient pressure. Here, this proposal is tested in a LiCl–KCl–Li3N cell and is found not to be the case, as the previous assumption of the direct electrochemical oxidation of N3− to NH3 is grossly over-simplified. We find that Li3N added to the molten electrolyte promotes the spontaneous and simultaneous chemical disproportionation of H2 (H oxidation state 0) into H− (H oxidation state −1) and H+ in the form of NH2−/NH2−/NH3 (H oxidation state +1) in the absence of applied current, resulting in non-Faradaic release of NH3. It is further observed that NH2− and NH2− possess their own redox chemistry. However, these spontaneous reactions allow us to propose an alternative, truly catalytic cycle. By adding LiH, rather than Li3N, N2 can be reduced to N3− while stoichiometric amounts of H− are oxidised to H2. The H2 can then react spontaneously with N3− to form NH3, regenerating H− and closing the catalytic cycle. Initial tests show a peak NH3 synthesis rate of 2.4×10−8 mol cm−2 s−1 at a maximum current efficiency of 4.2 %. Isotopic labelling with 15N2 confirms the resulting NH3 is from catalytic N2 reduction.","container-title":"Angewandte Chemie International Edition","DOI":"10.1002/anie.201909831","ISSN":"1521-3773","issue":"48","language":"en","license":"© 2019 Wiley-VCH Verlag GmbH &amp; Co. KGaA, Weinheim","note":"_eprint: https://onlinelibrary.wiley.com/doi/pdf/10.1002/anie.201909831","page":"17433-17441","source":"Wiley Online Library","title":"The Feasibility of Electrochemical Ammonia Synthesis in Molten LiCl–KCl Eutectics","volume":"58","author":[{"family":"McPherson","given":"Ian J."},{"family":"Sudmeier","given":"Tim"},{"family":"Fellowes","given":"Joshua P."},{"family":"Wilkinson","given":"Ian"},{"family":"Hughes","given":"Tim"},{"family":"Tsang","given":"S. C. Edman"}],"issued":{"date-parts":[["2019"]]},"citation-key":"mcphersonFeasibilityElectrochemicalAmmonia2019"}},{"id":496,"uris":["http://zotero.org/users/12592525/items/8AF7KKEI"],"itemData":{"id":496,"type":"article-journal","abstract":"The chemical looping process for ammonia synthesis (CLAS) has advantages in avoiding competitive adsorptions of nitrogen and hydrogen and optimizing the thermodynamics and kinetics of a reaction step by step. Nitrogen carriers with favorable thermodynamic and kinetic properties are critical for such a process, especially under mild conditions. Recent studies have shown that alkali- and alkaline-earth-metal imides are attractive nitrogen carriers; however, the equilibrium concentration of NH3 in the hydrogenation of imides to ammonia and hydrides is low at atmospheric pressure. Moreover, the reaction rate of nitrogen fixation on the hydrides is slow. Here, we show that an electrodriven CLAS (ECLAS) mediated by a lithium imide is feasible in a LiCl–NaCl–KCl eutectic electrolytic cell with a nickel-foam electrode. We demonstrate that the reactions of lithium imide hydrogenation and lithium hydride nitridation are both promoted by the input of electric energy. The average ammonia production rate over such an electrodriven CLAS is ca. 8 times higher than that of a thermal-driven CLAS.","container-title":"ACS Energy Letters","DOI":"10.1021/acsenergylett.2c02730","issue":"3","journalAbbreviation":"ACS Energy Lett.","note":"publisher: American Chemical Society","page":"1567-1574","source":"ACS Publications","title":"Electrodriven Chemical Looping Ammonia Synthesis Mediated by Lithium Imide","volume":"8","author":[{"family":"Feng","given":"Sheng"},{"family":"Gao","given":"Wenbo"},{"family":"Guo","given":"Jianping"},{"family":"Cao","given":"Hujun"},{"family":"Chen","given":"Ping"}],"issued":{"date-parts":[["2023",3,10]]},"citation-key":"fengElectrodrivenChemicalLooping2023"}}],"schema":"https://github.com/citation-style-language/schema/raw/master/csl-citation.json"} </w:instrText>
      </w:r>
      <w:r>
        <w:fldChar w:fldCharType="separate"/>
      </w:r>
      <w:r w:rsidRPr="009C6D65">
        <w:rPr>
          <w:rFonts w:ascii="Aptos" w:hAnsi="Aptos"/>
          <w:vertAlign w:val="superscript"/>
        </w:rPr>
        <w:t>2,3</w:t>
      </w:r>
      <w:r>
        <w:fldChar w:fldCharType="end"/>
      </w:r>
      <w:r>
        <w:t xml:space="preserve"> A key aspect of this work is the integration of operando gas analysis. The gas outlet of the furnace setup was connected to an online infrared (IR) gas cell, enabling real-time, continuous detection of the gaseous products. This electrochemical approach with operando analytical detection provides insights on reaction pathways is expected to provide insight on the Li-H-N speciation in molten chloride melts, laying down the groundwork for studies on electrochemical ammonia </w:t>
      </w:r>
      <w:r w:rsidR="00F0700C">
        <w:t>synthesis.</w:t>
      </w:r>
    </w:p>
    <w:p w14:paraId="28D816EA" w14:textId="77777777" w:rsidR="00892151" w:rsidRPr="00892151" w:rsidRDefault="00892151" w:rsidP="00892151">
      <w:pPr>
        <w:jc w:val="both"/>
      </w:pPr>
    </w:p>
    <w:p w14:paraId="24181F37" w14:textId="77777777" w:rsidR="00892151" w:rsidRPr="00892151" w:rsidRDefault="00892151" w:rsidP="00892151">
      <w:pPr>
        <w:pStyle w:val="Bibliography"/>
        <w:rPr>
          <w:rFonts w:ascii="Times New Roman" w:hAnsi="Times New Roman" w:cs="Times New Roman"/>
          <w:sz w:val="20"/>
          <w:szCs w:val="20"/>
        </w:rPr>
      </w:pPr>
      <w:r w:rsidRPr="00892151">
        <w:rPr>
          <w:rFonts w:ascii="Times New Roman" w:hAnsi="Times New Roman" w:cs="Times New Roman"/>
          <w:sz w:val="20"/>
          <w:szCs w:val="20"/>
        </w:rPr>
        <w:fldChar w:fldCharType="begin"/>
      </w:r>
      <w:r w:rsidRPr="00892151">
        <w:rPr>
          <w:rFonts w:ascii="Times New Roman" w:hAnsi="Times New Roman" w:cs="Times New Roman"/>
          <w:sz w:val="20"/>
          <w:szCs w:val="20"/>
        </w:rPr>
        <w:instrText xml:space="preserve"> ADDIN ZOTERO_BIBL {"uncited":[],"omitted":[],"custom":[]} CSL_BIBLIOGRAPHY </w:instrText>
      </w:r>
      <w:r w:rsidRPr="00892151">
        <w:rPr>
          <w:rFonts w:ascii="Times New Roman" w:hAnsi="Times New Roman" w:cs="Times New Roman"/>
          <w:sz w:val="20"/>
          <w:szCs w:val="20"/>
        </w:rPr>
        <w:fldChar w:fldCharType="separate"/>
      </w:r>
      <w:r w:rsidRPr="00892151">
        <w:rPr>
          <w:rFonts w:ascii="Times New Roman" w:hAnsi="Times New Roman" w:cs="Times New Roman"/>
          <w:sz w:val="20"/>
          <w:szCs w:val="20"/>
        </w:rPr>
        <w:t xml:space="preserve">1. T. Murakami, T. </w:t>
      </w:r>
      <w:proofErr w:type="spellStart"/>
      <w:r w:rsidRPr="00892151">
        <w:rPr>
          <w:rFonts w:ascii="Times New Roman" w:hAnsi="Times New Roman" w:cs="Times New Roman"/>
          <w:sz w:val="20"/>
          <w:szCs w:val="20"/>
        </w:rPr>
        <w:t>Nohira</w:t>
      </w:r>
      <w:proofErr w:type="spellEnd"/>
      <w:r w:rsidRPr="00892151">
        <w:rPr>
          <w:rFonts w:ascii="Times New Roman" w:hAnsi="Times New Roman" w:cs="Times New Roman"/>
          <w:sz w:val="20"/>
          <w:szCs w:val="20"/>
        </w:rPr>
        <w:t xml:space="preserve">, Y. H. Ogata, and Y. Ito, </w:t>
      </w:r>
      <w:proofErr w:type="spellStart"/>
      <w:r w:rsidRPr="00892151">
        <w:rPr>
          <w:rFonts w:ascii="Times New Roman" w:hAnsi="Times New Roman" w:cs="Times New Roman"/>
          <w:i/>
          <w:iCs/>
          <w:sz w:val="20"/>
          <w:szCs w:val="20"/>
        </w:rPr>
        <w:t>Electrochem</w:t>
      </w:r>
      <w:proofErr w:type="spellEnd"/>
      <w:r w:rsidRPr="00892151">
        <w:rPr>
          <w:rFonts w:ascii="Times New Roman" w:hAnsi="Times New Roman" w:cs="Times New Roman"/>
          <w:i/>
          <w:iCs/>
          <w:sz w:val="20"/>
          <w:szCs w:val="20"/>
        </w:rPr>
        <w:t>. Solid-State Lett.</w:t>
      </w:r>
      <w:r w:rsidRPr="00892151">
        <w:rPr>
          <w:rFonts w:ascii="Times New Roman" w:hAnsi="Times New Roman" w:cs="Times New Roman"/>
          <w:sz w:val="20"/>
          <w:szCs w:val="20"/>
        </w:rPr>
        <w:t xml:space="preserve">, </w:t>
      </w:r>
      <w:r w:rsidRPr="00892151">
        <w:rPr>
          <w:rFonts w:ascii="Times New Roman" w:hAnsi="Times New Roman" w:cs="Times New Roman"/>
          <w:b/>
          <w:bCs/>
          <w:sz w:val="20"/>
          <w:szCs w:val="20"/>
        </w:rPr>
        <w:t>8</w:t>
      </w:r>
      <w:r w:rsidRPr="00892151">
        <w:rPr>
          <w:rFonts w:ascii="Times New Roman" w:hAnsi="Times New Roman" w:cs="Times New Roman"/>
          <w:sz w:val="20"/>
          <w:szCs w:val="20"/>
        </w:rPr>
        <w:t>, E1 (2004).</w:t>
      </w:r>
    </w:p>
    <w:p w14:paraId="4C724D8F" w14:textId="77777777" w:rsidR="00892151" w:rsidRPr="00892151" w:rsidRDefault="00892151" w:rsidP="00892151">
      <w:pPr>
        <w:pStyle w:val="Bibliography"/>
        <w:rPr>
          <w:rFonts w:ascii="Times New Roman" w:hAnsi="Times New Roman" w:cs="Times New Roman"/>
          <w:sz w:val="20"/>
          <w:szCs w:val="20"/>
        </w:rPr>
      </w:pPr>
      <w:r w:rsidRPr="00892151">
        <w:rPr>
          <w:rFonts w:ascii="Times New Roman" w:hAnsi="Times New Roman" w:cs="Times New Roman"/>
          <w:sz w:val="20"/>
          <w:szCs w:val="20"/>
        </w:rPr>
        <w:t xml:space="preserve">2. I. J. McPherson et al., </w:t>
      </w:r>
      <w:proofErr w:type="spellStart"/>
      <w:r w:rsidRPr="00892151">
        <w:rPr>
          <w:rFonts w:ascii="Times New Roman" w:hAnsi="Times New Roman" w:cs="Times New Roman"/>
          <w:i/>
          <w:iCs/>
          <w:sz w:val="20"/>
          <w:szCs w:val="20"/>
        </w:rPr>
        <w:t>Angewandte</w:t>
      </w:r>
      <w:proofErr w:type="spellEnd"/>
      <w:r w:rsidRPr="00892151">
        <w:rPr>
          <w:rFonts w:ascii="Times New Roman" w:hAnsi="Times New Roman" w:cs="Times New Roman"/>
          <w:i/>
          <w:iCs/>
          <w:sz w:val="20"/>
          <w:szCs w:val="20"/>
        </w:rPr>
        <w:t xml:space="preserve"> Chemie International Edition</w:t>
      </w:r>
      <w:r w:rsidRPr="00892151">
        <w:rPr>
          <w:rFonts w:ascii="Times New Roman" w:hAnsi="Times New Roman" w:cs="Times New Roman"/>
          <w:sz w:val="20"/>
          <w:szCs w:val="20"/>
        </w:rPr>
        <w:t xml:space="preserve">, </w:t>
      </w:r>
      <w:r w:rsidRPr="00892151">
        <w:rPr>
          <w:rFonts w:ascii="Times New Roman" w:hAnsi="Times New Roman" w:cs="Times New Roman"/>
          <w:b/>
          <w:bCs/>
          <w:sz w:val="20"/>
          <w:szCs w:val="20"/>
        </w:rPr>
        <w:t>58</w:t>
      </w:r>
      <w:r w:rsidRPr="00892151">
        <w:rPr>
          <w:rFonts w:ascii="Times New Roman" w:hAnsi="Times New Roman" w:cs="Times New Roman"/>
          <w:sz w:val="20"/>
          <w:szCs w:val="20"/>
        </w:rPr>
        <w:t>, 17433–17441 (2019).</w:t>
      </w:r>
    </w:p>
    <w:p w14:paraId="581632DA" w14:textId="77777777" w:rsidR="00892151" w:rsidRPr="00892151" w:rsidRDefault="00892151" w:rsidP="00892151">
      <w:pPr>
        <w:pStyle w:val="Bibliography"/>
        <w:rPr>
          <w:rFonts w:ascii="Times New Roman" w:hAnsi="Times New Roman" w:cs="Times New Roman"/>
          <w:sz w:val="20"/>
          <w:szCs w:val="20"/>
        </w:rPr>
      </w:pPr>
      <w:r w:rsidRPr="00892151">
        <w:rPr>
          <w:rFonts w:ascii="Times New Roman" w:hAnsi="Times New Roman" w:cs="Times New Roman"/>
          <w:sz w:val="20"/>
          <w:szCs w:val="20"/>
        </w:rPr>
        <w:t xml:space="preserve">3. S. Feng, W. Gao, J. Guo, H. Cao, and P. Chen, </w:t>
      </w:r>
      <w:r w:rsidRPr="00892151">
        <w:rPr>
          <w:rFonts w:ascii="Times New Roman" w:hAnsi="Times New Roman" w:cs="Times New Roman"/>
          <w:i/>
          <w:iCs/>
          <w:sz w:val="20"/>
          <w:szCs w:val="20"/>
        </w:rPr>
        <w:t>ACS Energy Lett.</w:t>
      </w:r>
      <w:r w:rsidRPr="00892151">
        <w:rPr>
          <w:rFonts w:ascii="Times New Roman" w:hAnsi="Times New Roman" w:cs="Times New Roman"/>
          <w:sz w:val="20"/>
          <w:szCs w:val="20"/>
        </w:rPr>
        <w:t xml:space="preserve">, </w:t>
      </w:r>
      <w:r w:rsidRPr="00892151">
        <w:rPr>
          <w:rFonts w:ascii="Times New Roman" w:hAnsi="Times New Roman" w:cs="Times New Roman"/>
          <w:b/>
          <w:bCs/>
          <w:sz w:val="20"/>
          <w:szCs w:val="20"/>
        </w:rPr>
        <w:t>8</w:t>
      </w:r>
      <w:r w:rsidRPr="00892151">
        <w:rPr>
          <w:rFonts w:ascii="Times New Roman" w:hAnsi="Times New Roman" w:cs="Times New Roman"/>
          <w:sz w:val="20"/>
          <w:szCs w:val="20"/>
        </w:rPr>
        <w:t>, 1567–1574 (2023).</w:t>
      </w:r>
    </w:p>
    <w:p w14:paraId="6D959CDF" w14:textId="304DC148" w:rsidR="00E0716D" w:rsidRDefault="00892151" w:rsidP="00892151">
      <w:pPr>
        <w:pStyle w:val="Bibliography"/>
      </w:pPr>
      <w:r w:rsidRPr="00892151">
        <w:rPr>
          <w:rFonts w:ascii="Times New Roman" w:hAnsi="Times New Roman" w:cs="Times New Roman"/>
          <w:sz w:val="20"/>
          <w:szCs w:val="20"/>
        </w:rPr>
        <w:fldChar w:fldCharType="end"/>
      </w:r>
    </w:p>
    <w:p w14:paraId="1FB001C9" w14:textId="77777777" w:rsidR="00325004" w:rsidRDefault="00325004" w:rsidP="00E0716D">
      <w:pPr>
        <w:jc w:val="both"/>
      </w:pPr>
    </w:p>
    <w:p w14:paraId="3E414FB7" w14:textId="77777777" w:rsidR="00325004" w:rsidRDefault="00325004" w:rsidP="00E0716D">
      <w:pPr>
        <w:jc w:val="both"/>
      </w:pPr>
    </w:p>
    <w:p w14:paraId="6A9BF532"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049B9"/>
    <w:rsid w:val="0012228E"/>
    <w:rsid w:val="00261698"/>
    <w:rsid w:val="00325004"/>
    <w:rsid w:val="00536366"/>
    <w:rsid w:val="00685C1A"/>
    <w:rsid w:val="00892151"/>
    <w:rsid w:val="00C966DB"/>
    <w:rsid w:val="00E0716D"/>
    <w:rsid w:val="00E24D60"/>
    <w:rsid w:val="00F0700C"/>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AC935A"/>
  <w14:defaultImageDpi w14:val="300"/>
  <w15:docId w15:val="{922526BA-5070-7E49-847F-0448F98D8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92151"/>
    <w:pPr>
      <w:widowControl/>
      <w:spacing w:after="160" w:line="278" w:lineRule="auto"/>
    </w:pPr>
    <w:rPr>
      <w:rFonts w:asciiTheme="minorHAnsi" w:eastAsiaTheme="minorHAnsi" w:hAnsiTheme="minorHAnsi" w:cstheme="minorBidi"/>
      <w:snapToGrid/>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Pooja Dhami</cp:lastModifiedBy>
  <cp:revision>7</cp:revision>
  <cp:lastPrinted>2013-10-21T12:07:00Z</cp:lastPrinted>
  <dcterms:created xsi:type="dcterms:W3CDTF">2026-06-01T18:03:00Z</dcterms:created>
  <dcterms:modified xsi:type="dcterms:W3CDTF">2026-06-01T18:16:00Z</dcterms:modified>
</cp:coreProperties>
</file>