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23" name="image1.jpg"/>
            <a:graphic>
              <a:graphicData uri="http://schemas.openxmlformats.org/drawingml/2006/picture">
                <pic:pic>
                  <pic:nvPicPr>
                    <pic:cNvPr descr="wfc3d_20" id="0" name="image1.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sz w:val="22"/>
          <w:szCs w:val="22"/>
          <w:rtl w:val="0"/>
        </w:rPr>
        <w:t xml:space="preserve">4 November 2024</w:t>
      </w:r>
      <w:r w:rsidDel="00000000" w:rsidR="00000000" w:rsidRPr="00000000">
        <w:rPr>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2">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sz w:val="20"/>
        <w:szCs w:val="20"/>
        <w:rtl w:val="0"/>
      </w:rPr>
      <w:t xml:space="preserve">Innovative Technology for Reservoir Optimization: Fifth EAGE Well Injectivity &amp; Productivity in Carbonates (WIPIC)</w:t>
    </w:r>
    <w:r w:rsidDel="00000000" w:rsidR="00000000" w:rsidRPr="00000000">
      <w:rPr>
        <w:color w:val="000000"/>
        <w:sz w:val="20"/>
        <w:szCs w:val="20"/>
        <w:rtl w:val="0"/>
      </w:rPr>
      <w:t xml:space="preserve"> Wor</w:t>
    </w:r>
    <w:r w:rsidDel="00000000" w:rsidR="00000000" w:rsidRPr="00000000">
      <w:rPr>
        <w:sz w:val="20"/>
        <w:szCs w:val="20"/>
        <w:rtl w:val="0"/>
      </w:rPr>
      <w:t xml:space="preserve">kshop</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14-16 April</w:t>
    </w:r>
    <w:r w:rsidDel="00000000" w:rsidR="00000000" w:rsidRPr="00000000">
      <w:rPr>
        <w:color w:val="000000"/>
        <w:sz w:val="20"/>
        <w:szCs w:val="20"/>
        <w:rtl w:val="0"/>
      </w:rPr>
      <w:t xml:space="preserve"> 202</w:t>
    </w:r>
    <w:r w:rsidDel="00000000" w:rsidR="00000000" w:rsidRPr="00000000">
      <w:rPr>
        <w:sz w:val="20"/>
        <w:szCs w:val="20"/>
        <w:rtl w:val="0"/>
      </w:rPr>
      <w:t xml:space="preserve">5</w:t>
    </w:r>
    <w:r w:rsidDel="00000000" w:rsidR="00000000" w:rsidRPr="00000000">
      <w:rPr>
        <w:color w:val="000000"/>
        <w:sz w:val="20"/>
        <w:szCs w:val="20"/>
        <w:rtl w:val="0"/>
      </w:rPr>
      <w:t xml:space="preserve">,</w:t>
    </w:r>
    <w:r w:rsidDel="00000000" w:rsidR="00000000" w:rsidRPr="00000000">
      <w:rPr>
        <w:sz w:val="20"/>
        <w:szCs w:val="20"/>
        <w:rtl w:val="0"/>
      </w:rPr>
      <w:t xml:space="preserve"> Doha, Qatar</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2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outlineLvl w:val="0"/>
    </w:pPr>
    <w:rPr>
      <w:rFonts w:ascii="Arial" w:hAnsi="Arial"/>
      <w:b w:val="1"/>
      <w:kern w:val="28"/>
      <w:sz w:val="32"/>
    </w:r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val="1"/>
    <w:pPr>
      <w:spacing w:after="60"/>
      <w:jc w:val="center"/>
    </w:pPr>
    <w:rPr>
      <w:rFonts w:ascii="Arial" w:cs="Arial" w:eastAsia="Arial" w:hAnsi="Arial"/>
    </w:r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z67bH4ac1WMWuOcxAw1fTd0FAA==">CgMxLjAyCWlkLmdqZGd4czIKaWQuMzBqMHpsbDIKaWQuMWZvYjl0ZTIKaWQuM3pueXNoNzIKaWQuMmV0OTJwMDIJaWQudHlqY3d0MgppZC4zZHk2dmttMgppZC4xdDNoNXNmMgppZC40ZDM0b2c4MgppZC4yczhleW8xMgppZC4xN2RwOHZ1OAByITFaZ3ZybkdoYTFqbGxHYlBuVC1CZjZzSUF5UkdTYUsxbQ==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2021-05-04T05:36:00Z</dcterms:created>
  <dc:creator>Marjolein van Kraanen</dc:creator>
</cp:coreProperties>
</file>