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0" w:lineRule="auto"/>
        <w:ind w:firstLine="100"/>
        <w:rPr/>
      </w:pPr>
      <w:r w:rsidDel="00000000" w:rsidR="00000000" w:rsidRPr="00000000">
        <w:rPr>
          <w:rtl w:val="0"/>
        </w:rPr>
        <w:t xml:space="preserve">Introduction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PAGES! This information is provided on a cover page, automatically generated from the information you provide on the on-line submission form.</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ind w:firstLine="100"/>
        <w:rPr/>
      </w:pPr>
      <w:r w:rsidDel="00000000" w:rsidR="00000000" w:rsidRPr="00000000">
        <w:rPr>
          <w:rtl w:val="0"/>
        </w:rPr>
        <w:t xml:space="preserve">Method and/or Theory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5"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pStyle w:val="Heading1"/>
        <w:spacing w:before="253" w:lineRule="auto"/>
        <w:ind w:firstLine="100"/>
        <w:rPr/>
      </w:pPr>
      <w:r w:rsidDel="00000000" w:rsidR="00000000" w:rsidRPr="00000000">
        <w:rPr>
          <w:rtl w:val="0"/>
        </w:rPr>
        <w:t xml:space="preserve">Examples (Optional)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1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2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7" w:type="default"/>
          <w:footerReference r:id="rId8" w:type="default"/>
          <w:pgSz w:h="16840" w:w="11920" w:orient="portrait"/>
          <w:pgMar w:bottom="1160" w:top="1660" w:left="1340" w:right="1340" w:header="314" w:footer="972"/>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Technical Programme will be in English.</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701075" cy="3654552"/>
            <wp:effectExtent b="0" l="0" r="0" t="0"/>
            <wp:docPr id="1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701075" cy="3654552"/>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before="0" w:lineRule="auto"/>
        <w:ind w:left="100" w:right="112" w:firstLine="0"/>
        <w:jc w:val="both"/>
        <w:rPr>
          <w:i w:val="1"/>
          <w:sz w:val="22"/>
          <w:szCs w:val="22"/>
        </w:rPr>
      </w:pPr>
      <w:r w:rsidDel="00000000" w:rsidR="00000000" w:rsidRPr="00000000">
        <w:rPr>
          <w:b w:val="1"/>
          <w:i w:val="1"/>
          <w:sz w:val="22"/>
          <w:szCs w:val="22"/>
          <w:rtl w:val="0"/>
        </w:rPr>
        <w:t xml:space="preserve">Figure 1 </w:t>
      </w:r>
      <w:r w:rsidDel="00000000" w:rsidR="00000000" w:rsidRPr="00000000">
        <w:rPr>
          <w:i w:val="1"/>
          <w:sz w:val="22"/>
          <w:szCs w:val="22"/>
          <w:rtl w:val="0"/>
        </w:rPr>
        <w:t xml:space="preserve">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sz w:val="22"/>
          <w:szCs w:val="22"/>
          <w:rtl w:val="0"/>
        </w:rPr>
        <w:t xml:space="preserve">caption </w:t>
      </w:r>
      <w:r w:rsidDel="00000000" w:rsidR="00000000" w:rsidRPr="00000000">
        <w:rPr>
          <w:i w:val="1"/>
          <w:sz w:val="22"/>
          <w:szCs w:val="22"/>
          <w:rtl w:val="0"/>
        </w:rPr>
        <w:t xml:space="preserve">for each figure; more detailed discussion of the figure can be reserved for the text. In this template figure caption are 11pt italic Times New Roman. Further information about the use of figure captions and figure numbering can be found in </w:t>
      </w:r>
      <w:hyperlink r:id="rId10">
        <w:r w:rsidDel="00000000" w:rsidR="00000000" w:rsidRPr="00000000">
          <w:rPr>
            <w:i w:val="1"/>
            <w:sz w:val="22"/>
            <w:szCs w:val="22"/>
            <w:rtl w:val="0"/>
          </w:rPr>
          <w:t xml:space="preserve">the</w:t>
        </w:r>
      </w:hyperlink>
      <w:r w:rsidDel="00000000" w:rsidR="00000000" w:rsidRPr="00000000">
        <w:rPr>
          <w:i w:val="1"/>
          <w:sz w:val="22"/>
          <w:szCs w:val="22"/>
          <w:rtl w:val="0"/>
        </w:rPr>
        <w:t xml:space="preserve"> </w:t>
      </w:r>
      <w:hyperlink r:id="rId11">
        <w:r w:rsidDel="00000000" w:rsidR="00000000" w:rsidRPr="00000000">
          <w:rPr>
            <w:color w:val="0000ff"/>
            <w:sz w:val="22"/>
            <w:szCs w:val="22"/>
            <w:u w:val="single"/>
            <w:rtl w:val="0"/>
          </w:rPr>
          <w:t xml:space="preserve">First Break Guidelines for authors</w:t>
        </w:r>
      </w:hyperlink>
      <w:hyperlink r:id="rId12">
        <w:r w:rsidDel="00000000" w:rsidR="00000000" w:rsidRPr="00000000">
          <w:rPr>
            <w:i w:val="1"/>
            <w:sz w:val="22"/>
            <w:szCs w:val="22"/>
            <w:rtl w:val="0"/>
          </w:rPr>
          <w:t xml:space="preserve">.</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ind w:firstLine="100"/>
        <w:jc w:val="both"/>
        <w:rPr/>
      </w:pPr>
      <w:r w:rsidDel="00000000" w:rsidR="00000000" w:rsidRPr="00000000">
        <w:rPr>
          <w:rtl w:val="0"/>
        </w:rPr>
        <w:t xml:space="preserve">Examples (Optional)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ind w:firstLine="100"/>
        <w:rPr/>
      </w:pPr>
      <w:r w:rsidDel="00000000" w:rsidR="00000000" w:rsidRPr="00000000">
        <w:rPr>
          <w:rtl w:val="0"/>
        </w:rPr>
        <w:t xml:space="preserve">Conclusions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ind w:firstLine="100"/>
        <w:rPr/>
      </w:pPr>
      <w:r w:rsidDel="00000000" w:rsidR="00000000" w:rsidRPr="00000000">
        <w:rPr>
          <w:rtl w:val="0"/>
        </w:rPr>
        <w:t xml:space="preserve">Acknowledgements (Optional)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firstLine="100"/>
        <w:rPr/>
      </w:pPr>
      <w:r w:rsidDel="00000000" w:rsidR="00000000" w:rsidRPr="00000000">
        <w:rPr>
          <w:rtl w:val="0"/>
        </w:rPr>
        <w:t xml:space="preserve">References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sectPr>
      <w:type w:val="nextPage"/>
      <w:pgSz w:h="16840" w:w="11920" w:orient="portrait"/>
      <w:pgMar w:bottom="1160" w:top="1660" w:left="1340" w:right="1340" w:header="314" w:footer="9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50800</wp:posOffset>
              </wp:positionH>
              <wp:positionV relativeFrom="paragraph">
                <wp:posOffset>9944100</wp:posOffset>
              </wp:positionV>
              <wp:extent cx="1270" cy="12700"/>
              <wp:effectExtent b="0" l="0" r="0" t="0"/>
              <wp:wrapNone/>
              <wp:docPr id="9" name=""/>
              <a:graphic>
                <a:graphicData uri="http://schemas.microsoft.com/office/word/2010/wordprocessingShape">
                  <wps:wsp>
                    <wps:cNvSpPr/>
                    <wps:cNvPr id="2" name="Shape 2"/>
                    <wps:spPr>
                      <a:xfrm>
                        <a:off x="2489453" y="3779365"/>
                        <a:ext cx="5713095" cy="1270"/>
                      </a:xfrm>
                      <a:custGeom>
                        <a:rect b="b" l="l" r="r" t="t"/>
                        <a:pathLst>
                          <a:path extrusionOk="0" h="120000" w="5713095">
                            <a:moveTo>
                              <a:pt x="0" y="0"/>
                            </a:moveTo>
                            <a:lnTo>
                              <a:pt x="571279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9944100</wp:posOffset>
              </wp:positionV>
              <wp:extent cx="1270" cy="12700"/>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1206500</wp:posOffset>
              </wp:positionH>
              <wp:positionV relativeFrom="paragraph">
                <wp:posOffset>9918700</wp:posOffset>
              </wp:positionV>
              <wp:extent cx="3420110" cy="331470"/>
              <wp:effectExtent b="0" l="0" r="0" t="0"/>
              <wp:wrapNone/>
              <wp:docPr id="10" name=""/>
              <a:graphic>
                <a:graphicData uri="http://schemas.microsoft.com/office/word/2010/wordprocessingShape">
                  <wps:wsp>
                    <wps:cNvSpPr/>
                    <wps:cNvPr id="3" name="Shape 3"/>
                    <wps:spPr>
                      <a:xfrm>
                        <a:off x="3645470" y="3623790"/>
                        <a:ext cx="3401060" cy="312420"/>
                      </a:xfrm>
                      <a:prstGeom prst="rect">
                        <a:avLst/>
                      </a:prstGeom>
                      <a:noFill/>
                      <a:ln>
                        <a:noFill/>
                      </a:ln>
                    </wps:spPr>
                    <wps:txbx>
                      <w:txbxContent>
                        <w:p w:rsidR="00000000" w:rsidDel="00000000" w:rsidP="00000000" w:rsidRDefault="00000000" w:rsidRPr="00000000">
                          <w:pPr>
                            <w:spacing w:after="0" w:before="11.000000238418579" w:line="240"/>
                            <w:ind w:left="427.99999237060547" w:right="17.999999523162842" w:firstLine="447.00000762939453"/>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First EAGE Conference on Energy Opportunities in the Caribbean 6 - 8 November 2024, Port of Spain, Trinidad &amp; Tobago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1206500</wp:posOffset>
              </wp:positionH>
              <wp:positionV relativeFrom="paragraph">
                <wp:posOffset>9918700</wp:posOffset>
              </wp:positionV>
              <wp:extent cx="3420110" cy="331470"/>
              <wp:effectExtent b="0" l="0" r="0" t="0"/>
              <wp:wrapNone/>
              <wp:docPr id="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20110" cy="331470"/>
                      </a:xfrm>
                      <a:prstGeom prst="rect"/>
                      <a:ln/>
                    </pic:spPr>
                  </pic:pic>
                </a:graphicData>
              </a:graphic>
            </wp:anchor>
          </w:drawing>
        </mc:Fallback>
      </mc:AlternateConten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First EAGE Workshop on Geophysical Techniques for Monitoring CO2 Storage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21-22 October 2025, Toronto, Canada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5483549</wp:posOffset>
          </wp:positionH>
          <wp:positionV relativeFrom="page">
            <wp:posOffset>199390</wp:posOffset>
          </wp:positionV>
          <wp:extent cx="1143000" cy="257174"/>
          <wp:effectExtent b="0" l="0" r="0" t="0"/>
          <wp:wrapNone/>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2571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Helvetica Neue" w:cs="Helvetica Neue" w:eastAsia="Helvetica Neue" w:hAnsi="Helvetica Neue"/>
        <w:b w:val="0"/>
        <w:i w:val="0"/>
        <w:sz w:val="24"/>
        <w:szCs w:val="24"/>
      </w:rPr>
    </w:lvl>
    <w:lvl w:ilvl="1">
      <w:start w:val="0"/>
      <w:numFmt w:val="bullet"/>
      <w:lvlText w:val="•"/>
      <w:lvlJc w:val="left"/>
      <w:pPr>
        <w:ind w:left="1662" w:hanging="360"/>
      </w:pPr>
      <w:rPr/>
    </w:lvl>
    <w:lvl w:ilvl="2">
      <w:start w:val="0"/>
      <w:numFmt w:val="bullet"/>
      <w:lvlText w:val="•"/>
      <w:lvlJc w:val="left"/>
      <w:pPr>
        <w:ind w:left="2504" w:hanging="360"/>
      </w:pPr>
      <w:rPr/>
    </w:lvl>
    <w:lvl w:ilvl="3">
      <w:start w:val="0"/>
      <w:numFmt w:val="bullet"/>
      <w:lvlText w:val="•"/>
      <w:lvlJc w:val="left"/>
      <w:pPr>
        <w:ind w:left="3346" w:hanging="360"/>
      </w:pPr>
      <w:rPr/>
    </w:lvl>
    <w:lvl w:ilvl="4">
      <w:start w:val="0"/>
      <w:numFmt w:val="bullet"/>
      <w:lvlText w:val="•"/>
      <w:lvlJc w:val="left"/>
      <w:pPr>
        <w:ind w:left="4188" w:hanging="360"/>
      </w:pPr>
      <w:rPr/>
    </w:lvl>
    <w:lvl w:ilvl="5">
      <w:start w:val="0"/>
      <w:numFmt w:val="bullet"/>
      <w:lvlText w:val="•"/>
      <w:lvlJc w:val="left"/>
      <w:pPr>
        <w:ind w:left="5030" w:hanging="360"/>
      </w:pPr>
      <w:rPr/>
    </w:lvl>
    <w:lvl w:ilvl="6">
      <w:start w:val="0"/>
      <w:numFmt w:val="bullet"/>
      <w:lvlText w:val="•"/>
      <w:lvlJc w:val="left"/>
      <w:pPr>
        <w:ind w:left="5872" w:hanging="360"/>
      </w:pPr>
      <w:rPr/>
    </w:lvl>
    <w:lvl w:ilvl="7">
      <w:start w:val="0"/>
      <w:numFmt w:val="bullet"/>
      <w:lvlText w:val="•"/>
      <w:lvlJc w:val="left"/>
      <w:pPr>
        <w:ind w:left="6714" w:hanging="360"/>
      </w:pPr>
      <w:rPr/>
    </w:lvl>
    <w:lvl w:ilvl="8">
      <w:start w:val="0"/>
      <w:numFmt w:val="bullet"/>
      <w:lvlText w:val="•"/>
      <w:lvlJc w:val="left"/>
      <w:pPr>
        <w:ind w:left="75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en-US"/>
    </w:rPr>
  </w:style>
  <w:style w:type="paragraph" w:styleId="Heading1">
    <w:name w:val="Heading 1"/>
    <w:basedOn w:val="Normal"/>
    <w:uiPriority w:val="1"/>
    <w:qFormat w:val="1"/>
    <w:pPr>
      <w:ind w:left="100"/>
      <w:outlineLvl w:val="1"/>
    </w:pPr>
    <w:rPr>
      <w:rFonts w:ascii="Times New Roman" w:cs="Times New Roman" w:eastAsia="Times New Roman" w:hAnsi="Times New Roman"/>
      <w:b w:val="1"/>
      <w:bCs w:val="1"/>
      <w:sz w:val="22"/>
      <w:szCs w:val="22"/>
      <w:lang w:bidi="ar-SA" w:eastAsia="en-US" w:val="en-US"/>
    </w:rPr>
  </w:style>
  <w:style w:type="paragraph" w:styleId="ListParagraph">
    <w:name w:val="List Paragraph"/>
    <w:basedOn w:val="Normal"/>
    <w:uiPriority w:val="1"/>
    <w:qFormat w:val="1"/>
    <w:pPr>
      <w:spacing w:before="4"/>
      <w:ind w:left="819" w:hanging="359"/>
    </w:pPr>
    <w:rPr>
      <w:rFonts w:ascii="Times New Roman" w:cs="Times New Roman" w:eastAsia="Times New Roman" w:hAnsi="Times New Roman"/>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fb.eage.org/index/guidelinesforauthors?p=103" TargetMode="External"/><Relationship Id="rId10" Type="http://schemas.openxmlformats.org/officeDocument/2006/relationships/hyperlink" Target="http://www.firstbreak.org/other.phtml?other=guidance&amp;PHPSESSID=4a93090648f3d5ec3c3099fa75649852" TargetMode="External"/><Relationship Id="rId12" Type="http://schemas.openxmlformats.org/officeDocument/2006/relationships/hyperlink" Target="http://www.firstbreak.org/other.phtml?other=guidance&amp;PHPSESSID=4a93090648f3d5ec3c3099fa75649852"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xJ41UmQzTOMcHJF7WAp8IWb/g==">CgMxLjA4AHIhMWJ0MTdLYjhqRDhyQVllSUtMX0F3TWpVbVZNMVpjaGd4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2024-06-27T22:01:13Z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