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Extended Abstract should be 2-4 pages long including all figures and references (Please do not count the cover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(2-4)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7"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!INSERT DATE!. NO EXCEPTIONS!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sz w:val="20"/>
        <w:szCs w:val="20"/>
        <w:highlight w:val="white"/>
        <w:rtl w:val="0"/>
      </w:rPr>
      <w:t xml:space="preserve">Fifth EAGE Borehole Geology Workshop</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sz w:val="20"/>
        <w:szCs w:val="20"/>
        <w:rtl w:val="0"/>
      </w:rPr>
      <w:t xml:space="preserve">21</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-2</w:t>
    </w:r>
    <w:r w:rsidDel="00000000" w:rsidR="00000000" w:rsidRPr="00000000">
      <w:rPr>
        <w:sz w:val="20"/>
        <w:szCs w:val="20"/>
        <w:rtl w:val="0"/>
      </w:rPr>
      <w:t xml:space="preserve">3</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Nov</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2023, </w:t>
    </w:r>
    <w:r w:rsidDel="00000000" w:rsidR="00000000" w:rsidRPr="00000000">
      <w:rPr>
        <w:sz w:val="20"/>
        <w:szCs w:val="20"/>
        <w:rtl w:val="0"/>
      </w:rPr>
      <w:t xml:space="preserve">Dhahran</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Saudi Arabia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V+Q1Lfj67IZJLZ7CLAVSsMUc+g==">AMUW2mXHGC/TvBGAe98woeYpGqYfKIzVdz3DGVm43b54mGvN2dVIBEnRXioTYOd2+WBQ7D2xtox5ZhUXFRawdXr6XjgO5T4MevP4xr4PaSON03Vh2KYXLPDfjvS7Dnnsy57YIMmsoVhWeQpAC6+71k3z3Mkhq9HsnaemWFNOFMcCOtpRinw3Z2+SPtqoNUmEL+laq5UMwqFvVxnmQL5TFpo/XvcWlxW5Irr5LH1Zlms3mDQdUL/xpEbd4Aw04m5zyOrNQJY4RLKvddIoAPgMAqgHsJKN5y/60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Marjolein van Kraanen</dc:creator>
</cp:coreProperties>
</file>