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A3EE2" w14:textId="65799F2C" w:rsidR="00B022E6" w:rsidRDefault="00314622">
      <w:pPr>
        <w:tabs>
          <w:tab w:val="left" w:pos="504"/>
        </w:tabs>
        <w:ind w:left="0" w:hanging="2"/>
        <w:rPr>
          <w:b/>
          <w:sz w:val="22"/>
          <w:szCs w:val="22"/>
        </w:rPr>
      </w:pPr>
      <w:r w:rsidRPr="00314622">
        <w:rPr>
          <w:b/>
          <w:sz w:val="22"/>
          <w:szCs w:val="22"/>
        </w:rPr>
        <w:t>Combining Calcium Looping with In-situ Dry Reforming of Methane Using CeO</w:t>
      </w:r>
      <w:r w:rsidRPr="008F61BD">
        <w:rPr>
          <w:b/>
          <w:sz w:val="22"/>
          <w:szCs w:val="22"/>
          <w:vertAlign w:val="subscript"/>
        </w:rPr>
        <w:t>2</w:t>
      </w:r>
      <w:r w:rsidRPr="00314622">
        <w:rPr>
          <w:b/>
          <w:sz w:val="22"/>
          <w:szCs w:val="22"/>
        </w:rPr>
        <w:t>-Modified Ni/CaO Dual Functional Materials</w:t>
      </w:r>
    </w:p>
    <w:p w14:paraId="295B4B21" w14:textId="77777777" w:rsidR="00B022E6" w:rsidRDefault="00B022E6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line="240" w:lineRule="auto"/>
        <w:ind w:left="0" w:hanging="2"/>
        <w:rPr>
          <w:b/>
          <w:sz w:val="22"/>
          <w:szCs w:val="22"/>
        </w:rPr>
      </w:pPr>
    </w:p>
    <w:p w14:paraId="2E5E0176" w14:textId="77777777" w:rsidR="00B022E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line="240" w:lineRule="auto"/>
        <w:ind w:left="0" w:hanging="2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Introduction</w:t>
      </w:r>
      <w:bookmarkStart w:id="0" w:name="bookmark=id.gjdgxs" w:colFirst="0" w:colLast="0"/>
      <w:bookmarkEnd w:id="0"/>
    </w:p>
    <w:p w14:paraId="0B73DCFF" w14:textId="44F8C161" w:rsidR="00B022E6" w:rsidRPr="003B30AE" w:rsidRDefault="005912A6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line="240" w:lineRule="auto"/>
        <w:ind w:left="0" w:hanging="2"/>
        <w:jc w:val="both"/>
        <w:rPr>
          <w:color w:val="212121"/>
          <w:sz w:val="22"/>
          <w:szCs w:val="22"/>
        </w:rPr>
      </w:pPr>
      <w:r w:rsidRPr="003B30AE">
        <w:rPr>
          <w:color w:val="212121"/>
          <w:sz w:val="22"/>
          <w:szCs w:val="22"/>
        </w:rPr>
        <w:t>Calcium looping-dry reforming of methane (</w:t>
      </w:r>
      <w:proofErr w:type="spellStart"/>
      <w:r w:rsidRPr="003B30AE">
        <w:rPr>
          <w:color w:val="212121"/>
          <w:sz w:val="22"/>
          <w:szCs w:val="22"/>
        </w:rPr>
        <w:t>CaL</w:t>
      </w:r>
      <w:proofErr w:type="spellEnd"/>
      <w:r w:rsidRPr="003B30AE">
        <w:rPr>
          <w:color w:val="212121"/>
          <w:sz w:val="22"/>
          <w:szCs w:val="22"/>
        </w:rPr>
        <w:t>-DRM) is a promising carbon neutral technology. Conventional Ni/CaO dual functional materials (DFMs) suffer from sintering and carbon deposition. In this study, novel Ni/Ni</w:t>
      </w:r>
      <w:r w:rsidR="008F61BD" w:rsidRPr="008F61BD">
        <w:rPr>
          <w:rFonts w:hint="eastAsia"/>
          <w:color w:val="212121"/>
          <w:sz w:val="22"/>
          <w:szCs w:val="22"/>
          <w:vertAlign w:val="subscript"/>
          <w:lang w:eastAsia="zh-CN"/>
        </w:rPr>
        <w:t>1</w:t>
      </w:r>
      <w:r w:rsidRPr="003B30AE">
        <w:rPr>
          <w:color w:val="212121"/>
          <w:sz w:val="22"/>
          <w:szCs w:val="22"/>
        </w:rPr>
        <w:t>CeO</w:t>
      </w:r>
      <w:r w:rsidR="008F61BD" w:rsidRPr="008F61BD">
        <w:rPr>
          <w:rFonts w:hint="eastAsia"/>
          <w:color w:val="212121"/>
          <w:sz w:val="22"/>
          <w:szCs w:val="22"/>
          <w:vertAlign w:val="subscript"/>
          <w:lang w:eastAsia="zh-CN"/>
        </w:rPr>
        <w:t>2</w:t>
      </w:r>
      <w:r w:rsidRPr="003B30AE">
        <w:rPr>
          <w:color w:val="212121"/>
          <w:sz w:val="22"/>
          <w:szCs w:val="22"/>
        </w:rPr>
        <w:t>CaO DFMs were synthesized via urea-assisted hydrothermal pre-doping of minor Ni and CeO</w:t>
      </w:r>
      <w:r w:rsidRPr="008F61BD">
        <w:rPr>
          <w:color w:val="212121"/>
          <w:sz w:val="22"/>
          <w:szCs w:val="22"/>
          <w:vertAlign w:val="subscript"/>
        </w:rPr>
        <w:t>2</w:t>
      </w:r>
      <w:r w:rsidRPr="003B30AE">
        <w:rPr>
          <w:color w:val="212121"/>
          <w:sz w:val="22"/>
          <w:szCs w:val="22"/>
        </w:rPr>
        <w:t xml:space="preserve"> into CaO, followed by impregnation. The incorporated Ni acts as both catalytic sites and pore-forming agents, creating mesopores. CeO</w:t>
      </w:r>
      <w:r w:rsidR="008F61BD" w:rsidRPr="008F61BD">
        <w:rPr>
          <w:rFonts w:hint="eastAsia"/>
          <w:color w:val="212121"/>
          <w:sz w:val="22"/>
          <w:szCs w:val="22"/>
          <w:vertAlign w:val="subscript"/>
          <w:lang w:eastAsia="zh-CN"/>
        </w:rPr>
        <w:t>2</w:t>
      </w:r>
      <w:r w:rsidRPr="003B30AE">
        <w:rPr>
          <w:color w:val="212121"/>
          <w:sz w:val="22"/>
          <w:szCs w:val="22"/>
        </w:rPr>
        <w:t xml:space="preserve"> enhances sintering resistance and introduces oxygen vacancies, improving carbon resistance. The modified materials exhibit mesoporous structures, higher surface area, increased oxygen vacancies, and improved reducibility. The optimized Ni4/Ni1CeO</w:t>
      </w:r>
      <w:r w:rsidRPr="008F61BD">
        <w:rPr>
          <w:color w:val="212121"/>
          <w:sz w:val="22"/>
          <w:szCs w:val="22"/>
          <w:vertAlign w:val="subscript"/>
        </w:rPr>
        <w:t>2</w:t>
      </w:r>
      <w:r w:rsidRPr="003B30AE">
        <w:rPr>
          <w:color w:val="212121"/>
          <w:sz w:val="22"/>
          <w:szCs w:val="22"/>
        </w:rPr>
        <w:t>5CaO achieves a CO</w:t>
      </w:r>
      <w:r w:rsidRPr="008F61BD">
        <w:rPr>
          <w:color w:val="212121"/>
          <w:sz w:val="22"/>
          <w:szCs w:val="22"/>
          <w:vertAlign w:val="subscript"/>
        </w:rPr>
        <w:t>2</w:t>
      </w:r>
      <w:r w:rsidRPr="003B30AE">
        <w:rPr>
          <w:color w:val="212121"/>
          <w:sz w:val="22"/>
          <w:szCs w:val="22"/>
        </w:rPr>
        <w:t xml:space="preserve"> capture capacity of 12.5 mmol·g</w:t>
      </w:r>
      <w:r w:rsidRPr="008F61BD">
        <w:rPr>
          <w:color w:val="212121"/>
          <w:sz w:val="22"/>
          <w:szCs w:val="22"/>
          <w:vertAlign w:val="superscript"/>
        </w:rPr>
        <w:t>-1</w:t>
      </w:r>
      <w:r w:rsidR="008F61BD">
        <w:rPr>
          <w:rFonts w:hint="eastAsia"/>
          <w:color w:val="212121"/>
          <w:sz w:val="22"/>
          <w:szCs w:val="22"/>
          <w:vertAlign w:val="superscript"/>
          <w:lang w:eastAsia="zh-CN"/>
        </w:rPr>
        <w:t xml:space="preserve"> </w:t>
      </w:r>
      <w:r w:rsidRPr="003B30AE">
        <w:rPr>
          <w:color w:val="212121"/>
          <w:sz w:val="22"/>
          <w:szCs w:val="22"/>
        </w:rPr>
        <w:t>DFM and syngas production of 44 mmol·g</w:t>
      </w:r>
      <w:r w:rsidRPr="008F61BD">
        <w:rPr>
          <w:color w:val="212121"/>
          <w:sz w:val="22"/>
          <w:szCs w:val="22"/>
          <w:vertAlign w:val="superscript"/>
        </w:rPr>
        <w:t>-1</w:t>
      </w:r>
      <w:r w:rsidR="008F61BD">
        <w:rPr>
          <w:rFonts w:hint="eastAsia"/>
          <w:color w:val="212121"/>
          <w:sz w:val="22"/>
          <w:szCs w:val="22"/>
          <w:lang w:eastAsia="zh-CN"/>
        </w:rPr>
        <w:t xml:space="preserve"> </w:t>
      </w:r>
      <w:r w:rsidRPr="003B30AE">
        <w:rPr>
          <w:color w:val="212121"/>
          <w:sz w:val="22"/>
          <w:szCs w:val="22"/>
        </w:rPr>
        <w:t>DFM at 650°C under GHSV = 36 L·g</w:t>
      </w:r>
      <w:r w:rsidRPr="008F61BD">
        <w:rPr>
          <w:color w:val="212121"/>
          <w:sz w:val="22"/>
          <w:szCs w:val="22"/>
          <w:vertAlign w:val="superscript"/>
        </w:rPr>
        <w:t>-1</w:t>
      </w:r>
      <w:r w:rsidRPr="003B30AE">
        <w:rPr>
          <w:color w:val="212121"/>
          <w:sz w:val="22"/>
          <w:szCs w:val="22"/>
        </w:rPr>
        <w:t>·h</w:t>
      </w:r>
      <w:r w:rsidRPr="008F61BD">
        <w:rPr>
          <w:color w:val="212121"/>
          <w:sz w:val="22"/>
          <w:szCs w:val="22"/>
          <w:vertAlign w:val="superscript"/>
        </w:rPr>
        <w:t>-1</w:t>
      </w:r>
      <w:r w:rsidRPr="003B30AE">
        <w:rPr>
          <w:color w:val="212121"/>
          <w:sz w:val="22"/>
          <w:szCs w:val="22"/>
        </w:rPr>
        <w:t xml:space="preserve">DFM with &lt;5 </w:t>
      </w:r>
      <w:proofErr w:type="spellStart"/>
      <w:r w:rsidRPr="003B30AE">
        <w:rPr>
          <w:color w:val="212121"/>
          <w:sz w:val="22"/>
          <w:szCs w:val="22"/>
        </w:rPr>
        <w:t>wt</w:t>
      </w:r>
      <w:proofErr w:type="spellEnd"/>
      <w:r w:rsidRPr="003B30AE">
        <w:rPr>
          <w:color w:val="212121"/>
          <w:sz w:val="22"/>
          <w:szCs w:val="22"/>
        </w:rPr>
        <w:t xml:space="preserve">% carbon deposition after 10 cycles. DFT calculations revealed the synergistic mechanism in the </w:t>
      </w:r>
      <w:proofErr w:type="spellStart"/>
      <w:r w:rsidRPr="003B30AE">
        <w:rPr>
          <w:color w:val="212121"/>
          <w:sz w:val="22"/>
          <w:szCs w:val="22"/>
        </w:rPr>
        <w:t>CaL</w:t>
      </w:r>
      <w:proofErr w:type="spellEnd"/>
      <w:r w:rsidRPr="003B30AE">
        <w:rPr>
          <w:color w:val="212121"/>
          <w:sz w:val="22"/>
          <w:szCs w:val="22"/>
        </w:rPr>
        <w:t>-DRM reaction where *CH</w:t>
      </w:r>
      <w:r w:rsidRPr="008F61BD">
        <w:rPr>
          <w:color w:val="212121"/>
          <w:sz w:val="22"/>
          <w:szCs w:val="22"/>
          <w:vertAlign w:val="subscript"/>
        </w:rPr>
        <w:t>2</w:t>
      </w:r>
      <w:r w:rsidRPr="003B30AE">
        <w:rPr>
          <w:color w:val="212121"/>
          <w:sz w:val="22"/>
          <w:szCs w:val="22"/>
        </w:rPr>
        <w:t xml:space="preserve"> species facilitate the decomposition of CaCO</w:t>
      </w:r>
      <w:r w:rsidRPr="008F61BD">
        <w:rPr>
          <w:color w:val="212121"/>
          <w:sz w:val="22"/>
          <w:szCs w:val="22"/>
          <w:vertAlign w:val="subscript"/>
        </w:rPr>
        <w:t>3</w:t>
      </w:r>
      <w:r w:rsidRPr="003B30AE">
        <w:rPr>
          <w:color w:val="212121"/>
          <w:sz w:val="22"/>
          <w:szCs w:val="22"/>
        </w:rPr>
        <w:t>, thereby clarifying the reaction pathway. This work offers a novel strategy for integrated CO</w:t>
      </w:r>
      <w:r w:rsidRPr="008F61BD">
        <w:rPr>
          <w:color w:val="212121"/>
          <w:sz w:val="22"/>
          <w:szCs w:val="22"/>
          <w:vertAlign w:val="subscript"/>
        </w:rPr>
        <w:t>2</w:t>
      </w:r>
      <w:r w:rsidRPr="003B30AE">
        <w:rPr>
          <w:color w:val="212121"/>
          <w:sz w:val="22"/>
          <w:szCs w:val="22"/>
        </w:rPr>
        <w:t xml:space="preserve"> capture and in-situ conversion.</w:t>
      </w:r>
    </w:p>
    <w:p w14:paraId="2965CC4C" w14:textId="77777777" w:rsidR="00B022E6" w:rsidRDefault="00B022E6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415B4033" w14:textId="77777777" w:rsidR="00B022E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line="240" w:lineRule="auto"/>
        <w:ind w:left="0" w:hanging="2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Method and/or Theory</w:t>
      </w:r>
    </w:p>
    <w:p w14:paraId="1A42A63D" w14:textId="2F58C31B" w:rsidR="00B022E6" w:rsidRDefault="003B30AE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RPr="003B30AE">
        <w:rPr>
          <w:sz w:val="22"/>
          <w:szCs w:val="22"/>
        </w:rPr>
        <w:t>A simplified synthesis procedure for Ni-CeO</w:t>
      </w:r>
      <w:r w:rsidR="008F61BD" w:rsidRPr="008F61BD">
        <w:rPr>
          <w:rFonts w:hint="eastAsia"/>
          <w:sz w:val="22"/>
          <w:szCs w:val="22"/>
          <w:vertAlign w:val="subscript"/>
          <w:lang w:eastAsia="zh-CN"/>
        </w:rPr>
        <w:t>2</w:t>
      </w:r>
      <w:r w:rsidRPr="003B30AE">
        <w:rPr>
          <w:sz w:val="22"/>
          <w:szCs w:val="22"/>
        </w:rPr>
        <w:t>-CaO materials, such as Ni1CeO</w:t>
      </w:r>
      <w:r w:rsidR="008F61BD" w:rsidRPr="008F61BD">
        <w:rPr>
          <w:rFonts w:hint="eastAsia"/>
          <w:sz w:val="22"/>
          <w:szCs w:val="22"/>
          <w:vertAlign w:val="subscript"/>
          <w:lang w:eastAsia="zh-CN"/>
        </w:rPr>
        <w:t>2</w:t>
      </w:r>
      <w:r w:rsidRPr="003B30AE">
        <w:rPr>
          <w:sz w:val="22"/>
          <w:szCs w:val="22"/>
        </w:rPr>
        <w:t>5CaO and Ni1CeO</w:t>
      </w:r>
      <w:r w:rsidRPr="003B30AE">
        <w:rPr>
          <w:sz w:val="22"/>
          <w:szCs w:val="22"/>
          <w:vertAlign w:val="subscript"/>
        </w:rPr>
        <w:t>2</w:t>
      </w:r>
      <w:r w:rsidRPr="003B30AE">
        <w:rPr>
          <w:sz w:val="22"/>
          <w:szCs w:val="22"/>
        </w:rPr>
        <w:t>5, is described as follows. The appropriate metal nitrate precursors, citric acid monohydrate, and ethylene glycol were dissolved in deionized water and stirred at 70°C. Urea was then added to the mixture. The resulting solution was subjected to a hydrothermal treatment in a Teflon-lined autoclave at 130°C. The solid product was subsequently collected by filtration, washed, and dried under vacuum. A final calcination step was performed at 800°C. Different compositions were obtained by adjusting the initial feed ratios of the metal nitrates.</w:t>
      </w:r>
    </w:p>
    <w:p w14:paraId="67C1CA3F" w14:textId="77777777" w:rsidR="00706E09" w:rsidRDefault="00706E09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09F032C1" w14:textId="44D05BC0" w:rsidR="00B022E6" w:rsidRDefault="003B30AE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line="240" w:lineRule="auto"/>
        <w:ind w:left="0" w:hanging="2"/>
        <w:rPr>
          <w:b/>
          <w:color w:val="000000"/>
          <w:sz w:val="22"/>
          <w:szCs w:val="22"/>
        </w:rPr>
      </w:pPr>
      <w:bookmarkStart w:id="1" w:name="bookmark=id.2et92p0" w:colFirst="0" w:colLast="0"/>
      <w:bookmarkEnd w:id="1"/>
      <w:r w:rsidRPr="003B30AE">
        <w:rPr>
          <w:b/>
          <w:color w:val="000000"/>
          <w:sz w:val="22"/>
          <w:szCs w:val="22"/>
        </w:rPr>
        <w:t>Results and Discussion</w:t>
      </w:r>
      <w:bookmarkStart w:id="2" w:name="bookmark=id.tyjcwt" w:colFirst="0" w:colLast="0"/>
      <w:bookmarkEnd w:id="2"/>
    </w:p>
    <w:p w14:paraId="0277C653" w14:textId="02F392C4" w:rsidR="00B022E6" w:rsidRDefault="003B30AE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RPr="003B30AE">
        <w:rPr>
          <w:color w:val="000000"/>
          <w:sz w:val="22"/>
          <w:szCs w:val="22"/>
        </w:rPr>
        <w:t>Incorporating CeO</w:t>
      </w:r>
      <w:r w:rsidRPr="008F61BD">
        <w:rPr>
          <w:color w:val="000000"/>
          <w:sz w:val="22"/>
          <w:szCs w:val="22"/>
          <w:vertAlign w:val="subscript"/>
        </w:rPr>
        <w:t>2</w:t>
      </w:r>
      <w:r w:rsidRPr="003B30AE">
        <w:rPr>
          <w:color w:val="000000"/>
          <w:sz w:val="22"/>
          <w:szCs w:val="22"/>
        </w:rPr>
        <w:t xml:space="preserve"> into the Ni/CaO DFM via a urea-assisted method transformed its morphology into a layered structure and significantly improved Ni dispersion</w:t>
      </w:r>
      <w:r>
        <w:rPr>
          <w:rFonts w:hint="eastAsia"/>
          <w:color w:val="000000"/>
          <w:sz w:val="22"/>
          <w:szCs w:val="22"/>
          <w:lang w:eastAsia="zh-CN"/>
        </w:rPr>
        <w:t xml:space="preserve"> as shown in Fig 1</w:t>
      </w:r>
      <w:r w:rsidRPr="003B30AE">
        <w:rPr>
          <w:color w:val="000000"/>
          <w:sz w:val="22"/>
          <w:szCs w:val="22"/>
        </w:rPr>
        <w:t>. This modification decreased the crystallite sizes of Ni and CaO, enhancing the material stability and CO</w:t>
      </w:r>
      <w:r w:rsidRPr="008F61BD">
        <w:rPr>
          <w:color w:val="000000"/>
          <w:sz w:val="22"/>
          <w:szCs w:val="22"/>
          <w:vertAlign w:val="subscript"/>
        </w:rPr>
        <w:t>2</w:t>
      </w:r>
      <w:r w:rsidRPr="003B30AE">
        <w:rPr>
          <w:color w:val="000000"/>
          <w:sz w:val="22"/>
          <w:szCs w:val="22"/>
        </w:rPr>
        <w:t xml:space="preserve"> adsorption capacity. The observed structural changes, including a shift in the CaO XRD peak, indicate lattice integration of Ni and Ce species, which anchors active sites and introduces oxygen vacancies to promote CO</w:t>
      </w:r>
      <w:r w:rsidRPr="008F61BD">
        <w:rPr>
          <w:color w:val="000000"/>
          <w:sz w:val="22"/>
          <w:szCs w:val="22"/>
          <w:vertAlign w:val="subscript"/>
        </w:rPr>
        <w:t>2</w:t>
      </w:r>
      <w:r w:rsidRPr="003B30AE">
        <w:rPr>
          <w:color w:val="000000"/>
          <w:sz w:val="22"/>
          <w:szCs w:val="22"/>
        </w:rPr>
        <w:t xml:space="preserve"> migration.</w:t>
      </w:r>
    </w:p>
    <w:p w14:paraId="48000E8E" w14:textId="541F83C2" w:rsidR="00B022E6" w:rsidRDefault="003B30AE" w:rsidP="003B30AE">
      <w:pPr>
        <w:ind w:left="0" w:hanging="2"/>
      </w:pPr>
      <w:r w:rsidRPr="003B30AE">
        <w:drawing>
          <wp:inline distT="0" distB="0" distL="0" distR="0" wp14:anchorId="580E8783" wp14:editId="5A18D3C6">
            <wp:extent cx="5732145" cy="2105660"/>
            <wp:effectExtent l="0" t="0" r="1905" b="8890"/>
            <wp:docPr id="2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CE944A64-26F2-A5CB-04CF-E06ED40088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CE944A64-26F2-A5CB-04CF-E06ED40088F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10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074A8" w14:textId="30FA17A2" w:rsidR="003B30AE" w:rsidRDefault="00000000" w:rsidP="003B30AE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line="240" w:lineRule="auto"/>
        <w:ind w:left="0" w:hanging="2"/>
        <w:jc w:val="center"/>
        <w:rPr>
          <w:rFonts w:hint="eastAsia"/>
          <w:lang w:eastAsia="zh-CN"/>
        </w:rPr>
      </w:pPr>
      <w:bookmarkStart w:id="3" w:name="_heading=h.1t3h5sf" w:colFirst="0" w:colLast="0"/>
      <w:bookmarkEnd w:id="3"/>
      <w:r>
        <w:rPr>
          <w:b/>
          <w:i/>
          <w:color w:val="000000"/>
          <w:sz w:val="22"/>
          <w:szCs w:val="22"/>
        </w:rPr>
        <w:t>Figure 1</w:t>
      </w:r>
      <w:r>
        <w:rPr>
          <w:i/>
          <w:color w:val="000000"/>
          <w:sz w:val="22"/>
          <w:szCs w:val="22"/>
        </w:rPr>
        <w:t xml:space="preserve"> </w:t>
      </w:r>
      <w:r w:rsidR="003B30AE" w:rsidRPr="003B30AE">
        <w:rPr>
          <w:i/>
          <w:color w:val="000000"/>
          <w:sz w:val="22"/>
          <w:szCs w:val="22"/>
        </w:rPr>
        <w:t>Synthesis and morphology characterization diagrams of the catalyst</w:t>
      </w:r>
      <w:r w:rsidR="003B30AE">
        <w:rPr>
          <w:rFonts w:hint="eastAsia"/>
          <w:i/>
          <w:color w:val="000000"/>
          <w:sz w:val="22"/>
          <w:szCs w:val="22"/>
          <w:lang w:eastAsia="zh-CN"/>
        </w:rPr>
        <w:t>.</w:t>
      </w:r>
    </w:p>
    <w:p w14:paraId="0DBE62C6" w14:textId="6A1B4B1E" w:rsidR="00B022E6" w:rsidRPr="003B30AE" w:rsidRDefault="003B30AE" w:rsidP="003B30AE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line="240" w:lineRule="auto"/>
        <w:ind w:left="0" w:hanging="2"/>
        <w:jc w:val="both"/>
      </w:pPr>
      <w:r w:rsidRPr="003B30AE">
        <w:rPr>
          <w:color w:val="000000"/>
          <w:sz w:val="22"/>
          <w:szCs w:val="22"/>
        </w:rPr>
        <w:t>The performance of CeO</w:t>
      </w:r>
      <w:r w:rsidRPr="003B30AE">
        <w:rPr>
          <w:color w:val="000000"/>
          <w:sz w:val="22"/>
          <w:szCs w:val="22"/>
          <w:vertAlign w:val="subscript"/>
        </w:rPr>
        <w:t>2</w:t>
      </w:r>
      <w:r w:rsidRPr="003B30AE">
        <w:rPr>
          <w:color w:val="000000"/>
          <w:sz w:val="22"/>
          <w:szCs w:val="22"/>
        </w:rPr>
        <w:t>-modified Ni/CaO dual-functional materials (DFMs) was evaluated in the calcium looping dry reforming of methane (</w:t>
      </w:r>
      <w:proofErr w:type="spellStart"/>
      <w:r w:rsidRPr="003B30AE">
        <w:rPr>
          <w:color w:val="000000"/>
          <w:sz w:val="22"/>
          <w:szCs w:val="22"/>
        </w:rPr>
        <w:t>CaL</w:t>
      </w:r>
      <w:proofErr w:type="spellEnd"/>
      <w:r w:rsidRPr="003B30AE">
        <w:rPr>
          <w:color w:val="000000"/>
          <w:sz w:val="22"/>
          <w:szCs w:val="22"/>
        </w:rPr>
        <w:t>-DRM) process</w:t>
      </w:r>
      <w:r w:rsidR="00D508A3">
        <w:rPr>
          <w:rFonts w:hint="eastAsia"/>
          <w:color w:val="000000"/>
          <w:sz w:val="22"/>
          <w:szCs w:val="22"/>
          <w:lang w:eastAsia="zh-CN"/>
        </w:rPr>
        <w:t xml:space="preserve"> as </w:t>
      </w:r>
      <w:r w:rsidR="00D508A3">
        <w:rPr>
          <w:color w:val="000000"/>
          <w:sz w:val="22"/>
          <w:szCs w:val="22"/>
          <w:lang w:eastAsia="zh-CN"/>
        </w:rPr>
        <w:t>conform</w:t>
      </w:r>
      <w:r w:rsidR="00D508A3">
        <w:rPr>
          <w:rFonts w:hint="eastAsia"/>
          <w:color w:val="000000"/>
          <w:sz w:val="22"/>
          <w:szCs w:val="22"/>
          <w:lang w:eastAsia="zh-CN"/>
        </w:rPr>
        <w:t xml:space="preserve"> in Fig 2</w:t>
      </w:r>
      <w:r w:rsidRPr="003B30AE">
        <w:rPr>
          <w:color w:val="000000"/>
          <w:sz w:val="22"/>
          <w:szCs w:val="22"/>
        </w:rPr>
        <w:t>. An optimal CeO</w:t>
      </w:r>
      <w:r w:rsidR="008F61BD" w:rsidRPr="008F61BD">
        <w:rPr>
          <w:rFonts w:hint="eastAsia"/>
          <w:color w:val="000000"/>
          <w:sz w:val="22"/>
          <w:szCs w:val="22"/>
          <w:vertAlign w:val="subscript"/>
          <w:lang w:eastAsia="zh-CN"/>
        </w:rPr>
        <w:t>2</w:t>
      </w:r>
      <w:r w:rsidRPr="003B30AE">
        <w:rPr>
          <w:color w:val="000000"/>
          <w:sz w:val="22"/>
          <w:szCs w:val="22"/>
        </w:rPr>
        <w:t xml:space="preserve"> content of 5 wt.% resulted in the highest CO</w:t>
      </w:r>
      <w:r w:rsidRPr="003B30AE">
        <w:rPr>
          <w:color w:val="000000"/>
          <w:sz w:val="22"/>
          <w:szCs w:val="22"/>
          <w:vertAlign w:val="subscript"/>
        </w:rPr>
        <w:t>2</w:t>
      </w:r>
      <w:r w:rsidRPr="003B30AE">
        <w:rPr>
          <w:color w:val="000000"/>
          <w:sz w:val="22"/>
          <w:szCs w:val="22"/>
        </w:rPr>
        <w:t xml:space="preserve"> capture capacity of 12.5 mmol·g</w:t>
      </w:r>
      <w:r w:rsidR="008F61BD" w:rsidRPr="008F61BD">
        <w:rPr>
          <w:rFonts w:hint="eastAsia"/>
          <w:color w:val="000000"/>
          <w:sz w:val="22"/>
          <w:szCs w:val="22"/>
          <w:vertAlign w:val="superscript"/>
          <w:lang w:eastAsia="zh-CN"/>
        </w:rPr>
        <w:t>-1</w:t>
      </w:r>
      <w:r w:rsidRPr="003B30AE">
        <w:rPr>
          <w:color w:val="000000"/>
          <w:sz w:val="22"/>
          <w:szCs w:val="22"/>
        </w:rPr>
        <w:t xml:space="preserve"> and improved CH</w:t>
      </w:r>
      <w:r w:rsidR="008F61BD" w:rsidRPr="008F61BD">
        <w:rPr>
          <w:rFonts w:hint="eastAsia"/>
          <w:color w:val="000000"/>
          <w:sz w:val="22"/>
          <w:szCs w:val="22"/>
          <w:vertAlign w:val="subscript"/>
          <w:lang w:eastAsia="zh-CN"/>
        </w:rPr>
        <w:t>4</w:t>
      </w:r>
      <w:r w:rsidRPr="003B30AE">
        <w:rPr>
          <w:color w:val="000000"/>
          <w:sz w:val="22"/>
          <w:szCs w:val="22"/>
        </w:rPr>
        <w:t xml:space="preserve"> and CO</w:t>
      </w:r>
      <w:r w:rsidRPr="003B30AE">
        <w:rPr>
          <w:color w:val="000000"/>
          <w:sz w:val="22"/>
          <w:szCs w:val="22"/>
          <w:vertAlign w:val="subscript"/>
        </w:rPr>
        <w:t>2</w:t>
      </w:r>
      <w:r w:rsidRPr="003B30AE">
        <w:rPr>
          <w:color w:val="000000"/>
          <w:sz w:val="22"/>
          <w:szCs w:val="22"/>
        </w:rPr>
        <w:t xml:space="preserve"> conversions (78% and 73%, respectively), attributed to enhanced gas activation via oxygen vacancies. Higher </w:t>
      </w:r>
      <w:proofErr w:type="spellStart"/>
      <w:r w:rsidRPr="003B30AE">
        <w:rPr>
          <w:color w:val="000000"/>
          <w:sz w:val="22"/>
          <w:szCs w:val="22"/>
        </w:rPr>
        <w:t>CeO</w:t>
      </w:r>
      <w:proofErr w:type="spellEnd"/>
      <w:r w:rsidRPr="003B30AE">
        <w:rPr>
          <w:color w:val="000000"/>
          <w:sz w:val="22"/>
          <w:szCs w:val="22"/>
        </w:rPr>
        <w:t>₂ loading reduced capacity due to dilution of CaO. Similarly, varying Ni content revealed that 5 wt.% Ni provided a balance between high capture capacity (12.5 mmol·g</w:t>
      </w:r>
      <w:r w:rsidR="008F61BD" w:rsidRPr="008F61BD">
        <w:rPr>
          <w:rFonts w:hint="eastAsia"/>
          <w:color w:val="000000"/>
          <w:sz w:val="22"/>
          <w:szCs w:val="22"/>
          <w:vertAlign w:val="superscript"/>
          <w:lang w:eastAsia="zh-CN"/>
        </w:rPr>
        <w:t>-1</w:t>
      </w:r>
      <w:r w:rsidRPr="003B30AE">
        <w:rPr>
          <w:color w:val="000000"/>
          <w:sz w:val="22"/>
          <w:szCs w:val="22"/>
        </w:rPr>
        <w:t xml:space="preserve">) and conversion rates, while minimizing carbon deposition and active site agglomeration. Temperature </w:t>
      </w:r>
      <w:r w:rsidRPr="003B30AE">
        <w:rPr>
          <w:color w:val="000000"/>
          <w:sz w:val="22"/>
          <w:szCs w:val="22"/>
        </w:rPr>
        <w:lastRenderedPageBreak/>
        <w:t>screening showed that 650°C optimized CO</w:t>
      </w:r>
      <w:r w:rsidR="008F61BD" w:rsidRPr="008F61BD">
        <w:rPr>
          <w:rFonts w:hint="eastAsia"/>
          <w:color w:val="000000"/>
          <w:sz w:val="22"/>
          <w:szCs w:val="22"/>
          <w:vertAlign w:val="subscript"/>
          <w:lang w:eastAsia="zh-CN"/>
        </w:rPr>
        <w:t>2</w:t>
      </w:r>
      <w:r w:rsidRPr="003B30AE">
        <w:rPr>
          <w:color w:val="000000"/>
          <w:sz w:val="22"/>
          <w:szCs w:val="22"/>
        </w:rPr>
        <w:t xml:space="preserve"> capture (12.5 mmol·g</w:t>
      </w:r>
      <w:r w:rsidR="008F61BD" w:rsidRPr="008F61BD">
        <w:rPr>
          <w:rFonts w:hint="eastAsia"/>
          <w:color w:val="000000"/>
          <w:sz w:val="22"/>
          <w:szCs w:val="22"/>
          <w:vertAlign w:val="superscript"/>
          <w:lang w:eastAsia="zh-CN"/>
        </w:rPr>
        <w:t>-1</w:t>
      </w:r>
      <w:r w:rsidRPr="003B30AE">
        <w:rPr>
          <w:color w:val="000000"/>
          <w:sz w:val="22"/>
          <w:szCs w:val="22"/>
        </w:rPr>
        <w:t>) and syngas yield (58 mmol·g</w:t>
      </w:r>
      <w:r w:rsidR="003C0ED0" w:rsidRPr="003C0ED0">
        <w:rPr>
          <w:rFonts w:hint="eastAsia"/>
          <w:color w:val="000000"/>
          <w:sz w:val="22"/>
          <w:szCs w:val="22"/>
          <w:vertAlign w:val="superscript"/>
          <w:lang w:eastAsia="zh-CN"/>
        </w:rPr>
        <w:t>-1</w:t>
      </w:r>
      <w:r w:rsidRPr="003B30AE">
        <w:rPr>
          <w:color w:val="000000"/>
          <w:sz w:val="22"/>
          <w:szCs w:val="22"/>
        </w:rPr>
        <w:t>), though higher temperatures increased the H</w:t>
      </w:r>
      <w:r w:rsidRPr="003B30AE">
        <w:rPr>
          <w:color w:val="000000"/>
          <w:sz w:val="22"/>
          <w:szCs w:val="22"/>
          <w:vertAlign w:val="subscript"/>
        </w:rPr>
        <w:t>2</w:t>
      </w:r>
      <w:r w:rsidRPr="003B30AE">
        <w:rPr>
          <w:color w:val="000000"/>
          <w:sz w:val="22"/>
          <w:szCs w:val="22"/>
        </w:rPr>
        <w:t>/CO ratio due to methane cracking. Thus, the Ni/CeO</w:t>
      </w:r>
      <w:r w:rsidR="008F61BD" w:rsidRPr="008F61BD">
        <w:rPr>
          <w:rFonts w:hint="eastAsia"/>
          <w:color w:val="000000"/>
          <w:sz w:val="22"/>
          <w:szCs w:val="22"/>
          <w:vertAlign w:val="subscript"/>
          <w:lang w:eastAsia="zh-CN"/>
        </w:rPr>
        <w:t>2</w:t>
      </w:r>
      <w:r w:rsidRPr="003B30AE">
        <w:rPr>
          <w:color w:val="000000"/>
          <w:sz w:val="22"/>
          <w:szCs w:val="22"/>
        </w:rPr>
        <w:t>/CaO system with 5 wt.% of both Ni and CeO</w:t>
      </w:r>
      <w:r w:rsidRPr="003B30AE">
        <w:rPr>
          <w:rFonts w:hint="eastAsia"/>
          <w:color w:val="000000"/>
          <w:sz w:val="22"/>
          <w:szCs w:val="22"/>
          <w:vertAlign w:val="subscript"/>
          <w:lang w:eastAsia="zh-CN"/>
        </w:rPr>
        <w:t>2</w:t>
      </w:r>
      <w:r w:rsidRPr="003B30AE">
        <w:rPr>
          <w:color w:val="000000"/>
          <w:sz w:val="22"/>
          <w:szCs w:val="22"/>
        </w:rPr>
        <w:t xml:space="preserve"> at 650°C delivered the best trade-off among capture efficiency, reaction activity, and syngas quality.</w:t>
      </w:r>
    </w:p>
    <w:p w14:paraId="02C6747A" w14:textId="4560785F" w:rsidR="003B30AE" w:rsidRDefault="003B30AE" w:rsidP="003B30AE">
      <w:pPr>
        <w:ind w:left="0" w:hanging="2"/>
        <w:rPr>
          <w:lang w:eastAsia="zh-CN"/>
        </w:rPr>
      </w:pPr>
      <w:r w:rsidRPr="003B30AE">
        <w:rPr>
          <w:lang w:eastAsia="zh-CN"/>
        </w:rPr>
        <w:drawing>
          <wp:inline distT="0" distB="0" distL="0" distR="0" wp14:anchorId="20F6ACDB" wp14:editId="18DB6E8B">
            <wp:extent cx="5732145" cy="1489710"/>
            <wp:effectExtent l="0" t="0" r="0" b="0"/>
            <wp:docPr id="10" name="图片 9">
              <a:extLst xmlns:a="http://schemas.openxmlformats.org/drawingml/2006/main">
                <a:ext uri="{FF2B5EF4-FFF2-40B4-BE49-F238E27FC236}">
                  <a16:creationId xmlns:a16="http://schemas.microsoft.com/office/drawing/2014/main" id="{F3D9655F-D4E2-A33C-6D73-58BFC03D45D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>
                      <a:extLst>
                        <a:ext uri="{FF2B5EF4-FFF2-40B4-BE49-F238E27FC236}">
                          <a16:creationId xmlns:a16="http://schemas.microsoft.com/office/drawing/2014/main" id="{F3D9655F-D4E2-A33C-6D73-58BFC03D45D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48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90344" w14:textId="270C66A3" w:rsidR="003B30AE" w:rsidRDefault="003B30AE" w:rsidP="003B30AE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line="240" w:lineRule="auto"/>
        <w:ind w:left="0" w:hanging="2"/>
        <w:jc w:val="center"/>
        <w:rPr>
          <w:rFonts w:hint="eastAsia"/>
          <w:lang w:eastAsia="zh-CN"/>
        </w:rPr>
      </w:pPr>
      <w:r>
        <w:rPr>
          <w:b/>
          <w:i/>
          <w:color w:val="000000"/>
          <w:sz w:val="22"/>
          <w:szCs w:val="22"/>
        </w:rPr>
        <w:t xml:space="preserve">Figure </w:t>
      </w:r>
      <w:r>
        <w:rPr>
          <w:rFonts w:hint="eastAsia"/>
          <w:b/>
          <w:i/>
          <w:color w:val="000000"/>
          <w:sz w:val="22"/>
          <w:szCs w:val="22"/>
          <w:lang w:eastAsia="zh-CN"/>
        </w:rPr>
        <w:t>2</w:t>
      </w:r>
      <w:r>
        <w:rPr>
          <w:i/>
          <w:color w:val="000000"/>
          <w:sz w:val="22"/>
          <w:szCs w:val="22"/>
        </w:rPr>
        <w:t xml:space="preserve"> </w:t>
      </w:r>
      <w:r>
        <w:rPr>
          <w:rFonts w:hint="eastAsia"/>
          <w:i/>
          <w:color w:val="000000"/>
          <w:sz w:val="22"/>
          <w:szCs w:val="22"/>
          <w:lang w:eastAsia="zh-CN"/>
        </w:rPr>
        <w:t xml:space="preserve">Performance of </w:t>
      </w:r>
      <w:r w:rsidRPr="003B30AE">
        <w:rPr>
          <w:i/>
          <w:color w:val="000000"/>
          <w:sz w:val="22"/>
          <w:szCs w:val="22"/>
        </w:rPr>
        <w:t>catalyst</w:t>
      </w:r>
      <w:r>
        <w:rPr>
          <w:rFonts w:hint="eastAsia"/>
          <w:i/>
          <w:color w:val="000000"/>
          <w:sz w:val="22"/>
          <w:szCs w:val="22"/>
          <w:lang w:eastAsia="zh-CN"/>
        </w:rPr>
        <w:t>.</w:t>
      </w:r>
    </w:p>
    <w:p w14:paraId="6D676F5B" w14:textId="6EF11837" w:rsidR="003C0ED0" w:rsidRPr="003C0ED0" w:rsidRDefault="003C0ED0" w:rsidP="003C0ED0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RPr="003C0ED0">
        <w:rPr>
          <w:color w:val="000000"/>
          <w:sz w:val="22"/>
          <w:szCs w:val="22"/>
        </w:rPr>
        <w:t>DFT calculations on a Ni/NiCeO</w:t>
      </w:r>
      <w:r w:rsidRPr="003C0ED0">
        <w:rPr>
          <w:color w:val="000000"/>
          <w:sz w:val="22"/>
          <w:szCs w:val="22"/>
          <w:vertAlign w:val="subscript"/>
        </w:rPr>
        <w:t>2</w:t>
      </w:r>
      <w:r w:rsidRPr="003C0ED0">
        <w:rPr>
          <w:color w:val="000000"/>
          <w:sz w:val="22"/>
          <w:szCs w:val="22"/>
        </w:rPr>
        <w:t xml:space="preserve">CaO dual-functional material (DFM) model revealed key reaction pathways in the </w:t>
      </w:r>
      <w:proofErr w:type="spellStart"/>
      <w:r w:rsidRPr="003C0ED0">
        <w:rPr>
          <w:color w:val="000000"/>
          <w:sz w:val="22"/>
          <w:szCs w:val="22"/>
        </w:rPr>
        <w:t>CaL</w:t>
      </w:r>
      <w:proofErr w:type="spellEnd"/>
      <w:r w:rsidRPr="003C0ED0">
        <w:rPr>
          <w:color w:val="000000"/>
          <w:sz w:val="22"/>
          <w:szCs w:val="22"/>
        </w:rPr>
        <w:t>-DRM process</w:t>
      </w:r>
      <w:r w:rsidR="00D508A3">
        <w:rPr>
          <w:rFonts w:hint="eastAsia"/>
          <w:color w:val="000000"/>
          <w:sz w:val="22"/>
          <w:szCs w:val="22"/>
          <w:lang w:eastAsia="zh-CN"/>
        </w:rPr>
        <w:t xml:space="preserve"> as shown in Fig 3</w:t>
      </w:r>
      <w:r w:rsidRPr="003C0ED0">
        <w:rPr>
          <w:color w:val="000000"/>
          <w:sz w:val="22"/>
          <w:szCs w:val="22"/>
        </w:rPr>
        <w:t>. CO</w:t>
      </w:r>
      <w:r w:rsidR="00E95056" w:rsidRPr="008F61BD">
        <w:rPr>
          <w:rFonts w:hint="eastAsia"/>
          <w:color w:val="000000"/>
          <w:sz w:val="22"/>
          <w:szCs w:val="22"/>
          <w:vertAlign w:val="subscript"/>
          <w:lang w:eastAsia="zh-CN"/>
        </w:rPr>
        <w:t>2</w:t>
      </w:r>
      <w:r w:rsidRPr="003C0ED0">
        <w:rPr>
          <w:color w:val="000000"/>
          <w:sz w:val="22"/>
          <w:szCs w:val="22"/>
        </w:rPr>
        <w:t xml:space="preserve"> was found to preferentially adsorb at the CaO-CeO</w:t>
      </w:r>
      <w:r w:rsidRPr="003C0ED0">
        <w:rPr>
          <w:color w:val="000000"/>
          <w:sz w:val="22"/>
          <w:szCs w:val="22"/>
          <w:vertAlign w:val="subscript"/>
        </w:rPr>
        <w:t>2</w:t>
      </w:r>
      <w:r w:rsidRPr="003C0ED0">
        <w:rPr>
          <w:color w:val="000000"/>
          <w:sz w:val="22"/>
          <w:szCs w:val="22"/>
        </w:rPr>
        <w:t xml:space="preserve"> interface. The decomposition of CH</w:t>
      </w:r>
      <w:r w:rsidRPr="003C0ED0">
        <w:rPr>
          <w:color w:val="000000"/>
          <w:sz w:val="22"/>
          <w:szCs w:val="22"/>
          <w:vertAlign w:val="subscript"/>
        </w:rPr>
        <w:t>4</w:t>
      </w:r>
      <w:r w:rsidRPr="003C0ED0">
        <w:rPr>
          <w:color w:val="000000"/>
          <w:sz w:val="22"/>
          <w:szCs w:val="22"/>
        </w:rPr>
        <w:t xml:space="preserve"> on Ni sites generated *H species, which favored participating in *CO</w:t>
      </w:r>
      <w:r w:rsidR="008F61BD" w:rsidRPr="008F61BD">
        <w:rPr>
          <w:rFonts w:hint="eastAsia"/>
          <w:color w:val="000000"/>
          <w:sz w:val="22"/>
          <w:szCs w:val="22"/>
          <w:vertAlign w:val="subscript"/>
          <w:lang w:eastAsia="zh-CN"/>
        </w:rPr>
        <w:t>2</w:t>
      </w:r>
      <w:r w:rsidRPr="003C0ED0">
        <w:rPr>
          <w:color w:val="000000"/>
          <w:sz w:val="22"/>
          <w:szCs w:val="22"/>
        </w:rPr>
        <w:t xml:space="preserve"> activation over H</w:t>
      </w:r>
      <w:r w:rsidRPr="003C0ED0">
        <w:rPr>
          <w:color w:val="000000"/>
          <w:sz w:val="22"/>
          <w:szCs w:val="22"/>
          <w:vertAlign w:val="subscript"/>
        </w:rPr>
        <w:t>2</w:t>
      </w:r>
      <w:r w:rsidRPr="003C0ED0">
        <w:rPr>
          <w:color w:val="000000"/>
          <w:sz w:val="22"/>
          <w:szCs w:val="22"/>
        </w:rPr>
        <w:t xml:space="preserve"> formation due to a lower energy barrier</w:t>
      </w:r>
      <w:r w:rsidR="008F61BD">
        <w:rPr>
          <w:rFonts w:hint="eastAsia"/>
          <w:color w:val="000000"/>
          <w:sz w:val="22"/>
          <w:szCs w:val="22"/>
          <w:lang w:eastAsia="zh-CN"/>
        </w:rPr>
        <w:t xml:space="preserve"> </w:t>
      </w:r>
      <w:r w:rsidR="008F61BD" w:rsidRPr="008F61BD">
        <w:rPr>
          <w:rFonts w:hint="eastAsia"/>
          <w:color w:val="000000"/>
          <w:sz w:val="22"/>
          <w:szCs w:val="22"/>
          <w:lang w:eastAsia="zh-CN"/>
        </w:rPr>
        <w:t>(Shao et al, 2023)</w:t>
      </w:r>
      <w:r w:rsidRPr="003C0ED0">
        <w:rPr>
          <w:color w:val="000000"/>
          <w:sz w:val="22"/>
          <w:szCs w:val="22"/>
        </w:rPr>
        <w:t>. Between the two identified pathways for *H-assisted *CO</w:t>
      </w:r>
      <w:r w:rsidRPr="003C0ED0">
        <w:rPr>
          <w:color w:val="000000"/>
          <w:sz w:val="22"/>
          <w:szCs w:val="22"/>
          <w:vertAlign w:val="subscript"/>
        </w:rPr>
        <w:t>2</w:t>
      </w:r>
      <w:r w:rsidRPr="003C0ED0">
        <w:rPr>
          <w:color w:val="000000"/>
          <w:sz w:val="22"/>
          <w:szCs w:val="22"/>
        </w:rPr>
        <w:t xml:space="preserve"> activation, the *COOH route was more favorable than the *HCOO route.</w:t>
      </w:r>
    </w:p>
    <w:p w14:paraId="259DC270" w14:textId="370DA8B1" w:rsidR="003B30AE" w:rsidRPr="003C0ED0" w:rsidRDefault="003C0ED0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line="240" w:lineRule="auto"/>
        <w:ind w:left="0" w:hanging="2"/>
        <w:rPr>
          <w:rFonts w:hint="eastAsia"/>
          <w:lang w:eastAsia="zh-CN"/>
        </w:rPr>
      </w:pPr>
      <w:r w:rsidRPr="003C0ED0">
        <w:rPr>
          <w:lang w:eastAsia="zh-CN"/>
        </w:rPr>
        <w:drawing>
          <wp:inline distT="0" distB="0" distL="0" distR="0" wp14:anchorId="220D59C1" wp14:editId="7B69A047">
            <wp:extent cx="5732145" cy="2268855"/>
            <wp:effectExtent l="0" t="0" r="0" b="0"/>
            <wp:docPr id="7" name="图片 6">
              <a:extLst xmlns:a="http://schemas.openxmlformats.org/drawingml/2006/main">
                <a:ext uri="{FF2B5EF4-FFF2-40B4-BE49-F238E27FC236}">
                  <a16:creationId xmlns:a16="http://schemas.microsoft.com/office/drawing/2014/main" id="{CE16AFD8-C8F7-502E-3B88-03054898A5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>
                      <a:extLst>
                        <a:ext uri="{FF2B5EF4-FFF2-40B4-BE49-F238E27FC236}">
                          <a16:creationId xmlns:a16="http://schemas.microsoft.com/office/drawing/2014/main" id="{CE16AFD8-C8F7-502E-3B88-03054898A55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23D76" w14:textId="18EE1D71" w:rsidR="003C0ED0" w:rsidRDefault="003C0ED0" w:rsidP="003C0ED0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line="240" w:lineRule="auto"/>
        <w:ind w:left="0" w:hanging="2"/>
        <w:jc w:val="center"/>
        <w:rPr>
          <w:rFonts w:hint="eastAsia"/>
          <w:lang w:eastAsia="zh-CN"/>
        </w:rPr>
      </w:pPr>
      <w:r>
        <w:rPr>
          <w:b/>
          <w:i/>
          <w:color w:val="000000"/>
          <w:sz w:val="22"/>
          <w:szCs w:val="22"/>
        </w:rPr>
        <w:t xml:space="preserve">Figure </w:t>
      </w:r>
      <w:r>
        <w:rPr>
          <w:rFonts w:hint="eastAsia"/>
          <w:b/>
          <w:i/>
          <w:color w:val="000000"/>
          <w:sz w:val="22"/>
          <w:szCs w:val="22"/>
          <w:lang w:eastAsia="zh-CN"/>
        </w:rPr>
        <w:t>3</w:t>
      </w:r>
      <w:r>
        <w:rPr>
          <w:i/>
          <w:color w:val="000000"/>
          <w:sz w:val="22"/>
          <w:szCs w:val="22"/>
        </w:rPr>
        <w:t xml:space="preserve"> </w:t>
      </w:r>
      <w:r>
        <w:rPr>
          <w:rFonts w:hint="eastAsia"/>
          <w:i/>
          <w:color w:val="000000"/>
          <w:sz w:val="22"/>
          <w:szCs w:val="22"/>
          <w:lang w:eastAsia="zh-CN"/>
        </w:rPr>
        <w:t>Mechanism of reaction</w:t>
      </w:r>
      <w:r>
        <w:rPr>
          <w:rFonts w:hint="eastAsia"/>
          <w:i/>
          <w:color w:val="000000"/>
          <w:sz w:val="22"/>
          <w:szCs w:val="22"/>
          <w:lang w:eastAsia="zh-CN"/>
        </w:rPr>
        <w:t>.</w:t>
      </w:r>
    </w:p>
    <w:p w14:paraId="4B716ECD" w14:textId="77777777" w:rsidR="003B30AE" w:rsidRPr="003C0ED0" w:rsidRDefault="003B30AE" w:rsidP="003C0ED0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line="240" w:lineRule="auto"/>
        <w:ind w:leftChars="0" w:left="0" w:firstLineChars="0" w:firstLine="0"/>
        <w:rPr>
          <w:rFonts w:hint="eastAsia"/>
          <w:b/>
          <w:color w:val="000000"/>
          <w:sz w:val="22"/>
          <w:szCs w:val="22"/>
          <w:lang w:eastAsia="zh-CN"/>
        </w:rPr>
      </w:pPr>
    </w:p>
    <w:p w14:paraId="2E01D90B" w14:textId="77777777" w:rsidR="00B022E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line="240" w:lineRule="auto"/>
        <w:ind w:left="0" w:hanging="2"/>
        <w:rPr>
          <w:b/>
          <w:color w:val="000000"/>
          <w:sz w:val="22"/>
          <w:szCs w:val="22"/>
        </w:rPr>
      </w:pPr>
      <w:bookmarkStart w:id="4" w:name="bookmark=id.4d34og8" w:colFirst="0" w:colLast="0"/>
      <w:bookmarkEnd w:id="4"/>
      <w:r>
        <w:rPr>
          <w:b/>
          <w:color w:val="000000"/>
          <w:sz w:val="22"/>
          <w:szCs w:val="22"/>
        </w:rPr>
        <w:t>Conclusions</w:t>
      </w:r>
      <w:bookmarkStart w:id="5" w:name="bookmark=id.2s8eyo1" w:colFirst="0" w:colLast="0"/>
      <w:bookmarkEnd w:id="5"/>
    </w:p>
    <w:p w14:paraId="50B97F55" w14:textId="060F19AF" w:rsidR="00B022E6" w:rsidRDefault="002014F5" w:rsidP="002014F5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line="240" w:lineRule="auto"/>
        <w:ind w:left="0" w:hanging="2"/>
        <w:jc w:val="both"/>
        <w:rPr>
          <w:b/>
          <w:color w:val="000000"/>
          <w:sz w:val="22"/>
          <w:szCs w:val="22"/>
        </w:rPr>
      </w:pPr>
      <w:r w:rsidRPr="002014F5">
        <w:rPr>
          <w:color w:val="000000"/>
          <w:sz w:val="22"/>
          <w:szCs w:val="22"/>
        </w:rPr>
        <w:t>This study demonstrates the feasibility of a Ni/NiCeO</w:t>
      </w:r>
      <w:r w:rsidRPr="002014F5">
        <w:rPr>
          <w:color w:val="000000"/>
          <w:sz w:val="22"/>
          <w:szCs w:val="22"/>
          <w:vertAlign w:val="subscript"/>
        </w:rPr>
        <w:t>2</w:t>
      </w:r>
      <w:r w:rsidRPr="002014F5">
        <w:rPr>
          <w:color w:val="000000"/>
          <w:sz w:val="22"/>
          <w:szCs w:val="22"/>
        </w:rPr>
        <w:t xml:space="preserve">CaO dual-functional material (DFM) for the </w:t>
      </w:r>
      <w:proofErr w:type="spellStart"/>
      <w:r w:rsidRPr="002014F5">
        <w:rPr>
          <w:color w:val="000000"/>
          <w:sz w:val="22"/>
          <w:szCs w:val="22"/>
        </w:rPr>
        <w:t>CaL</w:t>
      </w:r>
      <w:proofErr w:type="spellEnd"/>
      <w:r w:rsidRPr="002014F5">
        <w:rPr>
          <w:color w:val="000000"/>
          <w:sz w:val="22"/>
          <w:szCs w:val="22"/>
        </w:rPr>
        <w:t>-DRM process, where CaO serves as the CO</w:t>
      </w:r>
      <w:r w:rsidRPr="002014F5">
        <w:rPr>
          <w:color w:val="000000"/>
          <w:sz w:val="22"/>
          <w:szCs w:val="22"/>
          <w:vertAlign w:val="subscript"/>
        </w:rPr>
        <w:t>2</w:t>
      </w:r>
      <w:r w:rsidRPr="002014F5">
        <w:rPr>
          <w:color w:val="000000"/>
          <w:sz w:val="22"/>
          <w:szCs w:val="22"/>
        </w:rPr>
        <w:t xml:space="preserve"> adsorbent and support, Ni acts as a catalyst and pore-former, and CeO</w:t>
      </w:r>
      <w:r w:rsidR="008F61BD" w:rsidRPr="008F61BD">
        <w:rPr>
          <w:rFonts w:hint="eastAsia"/>
          <w:color w:val="000000"/>
          <w:sz w:val="22"/>
          <w:szCs w:val="22"/>
          <w:vertAlign w:val="subscript"/>
          <w:lang w:eastAsia="zh-CN"/>
        </w:rPr>
        <w:t>2</w:t>
      </w:r>
      <w:r w:rsidRPr="002014F5">
        <w:rPr>
          <w:color w:val="000000"/>
          <w:sz w:val="22"/>
          <w:szCs w:val="22"/>
        </w:rPr>
        <w:t xml:space="preserve"> inhibits sintering and carbon deposition. The optimized Ni4/Ni1CeO</w:t>
      </w:r>
      <w:r w:rsidRPr="002014F5">
        <w:rPr>
          <w:color w:val="000000"/>
          <w:sz w:val="22"/>
          <w:szCs w:val="22"/>
          <w:vertAlign w:val="subscript"/>
        </w:rPr>
        <w:t>2</w:t>
      </w:r>
      <w:r w:rsidRPr="002014F5">
        <w:rPr>
          <w:color w:val="000000"/>
          <w:sz w:val="22"/>
          <w:szCs w:val="22"/>
        </w:rPr>
        <w:t>5CaO composite maintained stable performance over 10 cycles, with deactivation primarily due to CaO sintering and Ni carbon deposition. The inclusion of CeO</w:t>
      </w:r>
      <w:r w:rsidRPr="002014F5">
        <w:rPr>
          <w:color w:val="000000"/>
          <w:sz w:val="22"/>
          <w:szCs w:val="22"/>
          <w:vertAlign w:val="subscript"/>
        </w:rPr>
        <w:t>2</w:t>
      </w:r>
      <w:r w:rsidRPr="002014F5">
        <w:rPr>
          <w:color w:val="000000"/>
          <w:sz w:val="22"/>
          <w:szCs w:val="22"/>
        </w:rPr>
        <w:t xml:space="preserve"> significantly enhanced morphological stability. Furthermore, DFT calculations verified a synergistic reaction pathway where CH</w:t>
      </w:r>
      <w:r w:rsidR="008F61BD" w:rsidRPr="008F61BD">
        <w:rPr>
          <w:rFonts w:hint="eastAsia"/>
          <w:color w:val="000000"/>
          <w:sz w:val="22"/>
          <w:szCs w:val="22"/>
          <w:vertAlign w:val="subscript"/>
          <w:lang w:eastAsia="zh-CN"/>
        </w:rPr>
        <w:t>4</w:t>
      </w:r>
      <w:r w:rsidRPr="002014F5">
        <w:rPr>
          <w:color w:val="000000"/>
          <w:sz w:val="22"/>
          <w:szCs w:val="22"/>
        </w:rPr>
        <w:t xml:space="preserve"> dehydrogenation assists CO</w:t>
      </w:r>
      <w:r w:rsidR="008F61BD" w:rsidRPr="008F61BD">
        <w:rPr>
          <w:rFonts w:hint="eastAsia"/>
          <w:color w:val="000000"/>
          <w:sz w:val="22"/>
          <w:szCs w:val="22"/>
          <w:vertAlign w:val="subscript"/>
          <w:lang w:eastAsia="zh-CN"/>
        </w:rPr>
        <w:t>2</w:t>
      </w:r>
      <w:r w:rsidRPr="002014F5">
        <w:rPr>
          <w:color w:val="000000"/>
          <w:sz w:val="22"/>
          <w:szCs w:val="22"/>
        </w:rPr>
        <w:t xml:space="preserve"> activation, providing a strategic basis for designing high-performance DFMs and advancing the </w:t>
      </w:r>
      <w:proofErr w:type="spellStart"/>
      <w:r w:rsidRPr="002014F5">
        <w:rPr>
          <w:color w:val="000000"/>
          <w:sz w:val="22"/>
          <w:szCs w:val="22"/>
        </w:rPr>
        <w:t>CaL</w:t>
      </w:r>
      <w:proofErr w:type="spellEnd"/>
      <w:r w:rsidRPr="002014F5">
        <w:rPr>
          <w:color w:val="000000"/>
          <w:sz w:val="22"/>
          <w:szCs w:val="22"/>
        </w:rPr>
        <w:t>-DRM technology.</w:t>
      </w:r>
    </w:p>
    <w:p w14:paraId="03F9A58B" w14:textId="77777777" w:rsidR="00706E09" w:rsidRDefault="00706E09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line="240" w:lineRule="auto"/>
        <w:ind w:left="0" w:hanging="2"/>
        <w:rPr>
          <w:b/>
          <w:color w:val="000000"/>
          <w:sz w:val="22"/>
          <w:szCs w:val="22"/>
        </w:rPr>
      </w:pPr>
    </w:p>
    <w:p w14:paraId="7756D30A" w14:textId="1078C3BB" w:rsidR="00B022E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line="240" w:lineRule="auto"/>
        <w:ind w:left="0" w:hanging="2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Acknowledgements (Optional)</w:t>
      </w:r>
    </w:p>
    <w:p w14:paraId="51490563" w14:textId="3842DE17" w:rsidR="00B022E6" w:rsidRDefault="00D508A3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  <w:bookmarkStart w:id="6" w:name="bookmark=id.3rdcrjn" w:colFirst="0" w:colLast="0"/>
      <w:bookmarkStart w:id="7" w:name="_heading=h.gjdgxs" w:colFirst="0" w:colLast="0"/>
      <w:bookmarkEnd w:id="6"/>
      <w:bookmarkEnd w:id="7"/>
      <w:r w:rsidRPr="00D508A3">
        <w:rPr>
          <w:color w:val="000000"/>
          <w:sz w:val="22"/>
          <w:szCs w:val="22"/>
        </w:rPr>
        <w:t>This work was supported by the National Natural Science Foundation of China (NSFC-No. W2512003), National Key Research and Development Program of China (No. 2025YFE0101800) and Hebei Provincial Natural Science Foundation of China(B2024105009).</w:t>
      </w:r>
    </w:p>
    <w:p w14:paraId="796080BA" w14:textId="77777777" w:rsidR="00B022E6" w:rsidRDefault="00B022E6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line="240" w:lineRule="auto"/>
        <w:ind w:left="0" w:hanging="2"/>
        <w:rPr>
          <w:b/>
          <w:color w:val="000000"/>
          <w:sz w:val="22"/>
          <w:szCs w:val="22"/>
        </w:rPr>
      </w:pPr>
    </w:p>
    <w:p w14:paraId="063750A4" w14:textId="77777777" w:rsidR="00B022E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line="240" w:lineRule="auto"/>
        <w:ind w:left="0" w:hanging="2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References</w:t>
      </w:r>
    </w:p>
    <w:p w14:paraId="7987E324" w14:textId="72D58D0D" w:rsidR="00E95056" w:rsidRPr="00E95056" w:rsidRDefault="00E95056" w:rsidP="008F61BD">
      <w:pPr>
        <w:ind w:left="0" w:hanging="2"/>
        <w:jc w:val="both"/>
        <w:rPr>
          <w:rFonts w:hint="eastAsia"/>
          <w:sz w:val="22"/>
          <w:szCs w:val="22"/>
          <w:lang w:eastAsia="zh-CN"/>
        </w:rPr>
      </w:pPr>
      <w:r w:rsidRPr="00E95056">
        <w:rPr>
          <w:sz w:val="22"/>
          <w:szCs w:val="22"/>
          <w:lang w:eastAsia="zh-CN"/>
        </w:rPr>
        <w:lastRenderedPageBreak/>
        <w:t xml:space="preserve">B. Shao, Z.-Q. Wang, X.-Q. Gong, H. Liu, F. Qian, P. Hu, J. </w:t>
      </w:r>
      <w:proofErr w:type="gramStart"/>
      <w:r w:rsidRPr="00E95056">
        <w:rPr>
          <w:sz w:val="22"/>
          <w:szCs w:val="22"/>
          <w:lang w:eastAsia="zh-CN"/>
        </w:rPr>
        <w:t>Hu</w:t>
      </w:r>
      <w:r w:rsidR="008F61BD">
        <w:rPr>
          <w:rFonts w:hint="eastAsia"/>
          <w:sz w:val="22"/>
          <w:szCs w:val="22"/>
          <w:lang w:eastAsia="zh-CN"/>
        </w:rPr>
        <w:t>.[</w:t>
      </w:r>
      <w:proofErr w:type="gramEnd"/>
      <w:r w:rsidR="008F61BD">
        <w:rPr>
          <w:rFonts w:hint="eastAsia"/>
          <w:sz w:val="22"/>
          <w:szCs w:val="22"/>
          <w:lang w:eastAsia="zh-CN"/>
        </w:rPr>
        <w:t>2023].</w:t>
      </w:r>
      <w:r w:rsidRPr="00E95056">
        <w:rPr>
          <w:sz w:val="22"/>
          <w:szCs w:val="22"/>
          <w:lang w:eastAsia="zh-CN"/>
        </w:rPr>
        <w:t xml:space="preserve"> </w:t>
      </w:r>
      <w:r w:rsidR="008F61BD" w:rsidRPr="008F61BD">
        <w:rPr>
          <w:sz w:val="22"/>
          <w:szCs w:val="22"/>
          <w:lang w:eastAsia="zh-CN"/>
        </w:rPr>
        <w:t>Synergistic promotions between CO</w:t>
      </w:r>
      <w:r w:rsidR="008F61BD" w:rsidRPr="008F61BD">
        <w:rPr>
          <w:sz w:val="22"/>
          <w:szCs w:val="22"/>
          <w:vertAlign w:val="subscript"/>
          <w:lang w:eastAsia="zh-CN"/>
        </w:rPr>
        <w:t>2</w:t>
      </w:r>
      <w:r w:rsidR="008F61BD" w:rsidRPr="008F61BD">
        <w:rPr>
          <w:sz w:val="22"/>
          <w:szCs w:val="22"/>
          <w:lang w:eastAsia="zh-CN"/>
        </w:rPr>
        <w:t xml:space="preserve"> capture and in-situ conversion on Ni-CaO composite catalyst</w:t>
      </w:r>
      <w:r w:rsidR="008F61BD">
        <w:rPr>
          <w:rFonts w:hint="eastAsia"/>
          <w:sz w:val="22"/>
          <w:szCs w:val="22"/>
          <w:lang w:eastAsia="zh-CN"/>
        </w:rPr>
        <w:t xml:space="preserve">. </w:t>
      </w:r>
      <w:r w:rsidRPr="00E95056">
        <w:rPr>
          <w:sz w:val="22"/>
          <w:szCs w:val="22"/>
          <w:lang w:eastAsia="zh-CN"/>
        </w:rPr>
        <w:t>Nature Communications, 14</w:t>
      </w:r>
      <w:r w:rsidR="008F61BD">
        <w:rPr>
          <w:rFonts w:hint="eastAsia"/>
          <w:sz w:val="22"/>
          <w:szCs w:val="22"/>
          <w:lang w:eastAsia="zh-CN"/>
        </w:rPr>
        <w:t>, 996</w:t>
      </w:r>
      <w:r w:rsidRPr="00E95056">
        <w:rPr>
          <w:sz w:val="22"/>
          <w:szCs w:val="22"/>
          <w:lang w:eastAsia="zh-CN"/>
        </w:rPr>
        <w:t>.</w:t>
      </w:r>
    </w:p>
    <w:sectPr w:rsidR="00E95056" w:rsidRPr="00E9505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/>
      <w:pgMar w:top="1440" w:right="1440" w:bottom="1440" w:left="1440" w:header="284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0164C" w14:textId="77777777" w:rsidR="0035025B" w:rsidRDefault="0035025B">
      <w:pPr>
        <w:spacing w:line="240" w:lineRule="auto"/>
        <w:ind w:left="0" w:hanging="2"/>
      </w:pPr>
      <w:r>
        <w:separator/>
      </w:r>
    </w:p>
  </w:endnote>
  <w:endnote w:type="continuationSeparator" w:id="0">
    <w:p w14:paraId="51C485B4" w14:textId="77777777" w:rsidR="0035025B" w:rsidRDefault="0035025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9126E" w14:textId="77777777" w:rsidR="00B022E6" w:rsidRDefault="00B022E6">
    <w:pPr>
      <w:pBdr>
        <w:top w:val="single" w:sz="6" w:space="1" w:color="000000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line="240" w:lineRule="auto"/>
      <w:ind w:left="0" w:hanging="2"/>
      <w:jc w:val="right"/>
      <w:rPr>
        <w:rFonts w:ascii="Arial" w:eastAsia="Arial" w:hAnsi="Arial" w:cs="Arial"/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34BAC" w14:textId="77777777" w:rsidR="007122C7" w:rsidRDefault="007122C7" w:rsidP="007122C7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703"/>
        <w:tab w:val="right" w:pos="9406"/>
      </w:tabs>
      <w:spacing w:line="240" w:lineRule="auto"/>
      <w:ind w:left="0" w:hanging="2"/>
      <w:jc w:val="center"/>
      <w:rPr>
        <w:color w:val="000000"/>
        <w:sz w:val="20"/>
        <w:szCs w:val="20"/>
      </w:rPr>
    </w:pPr>
  </w:p>
  <w:p w14:paraId="0B8355CA" w14:textId="22AEBA68" w:rsidR="00B022E6" w:rsidRPr="007122C7" w:rsidRDefault="00F70A4E" w:rsidP="007122C7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line="240" w:lineRule="auto"/>
      <w:ind w:left="0" w:hanging="2"/>
      <w:jc w:val="center"/>
      <w:rPr>
        <w:sz w:val="20"/>
        <w:szCs w:val="20"/>
      </w:rPr>
    </w:pPr>
    <w:r>
      <w:rPr>
        <w:sz w:val="20"/>
        <w:szCs w:val="20"/>
      </w:rPr>
      <w:t xml:space="preserve">World CCUS Conference </w:t>
    </w:r>
    <w:r w:rsidR="00157344">
      <w:rPr>
        <w:sz w:val="20"/>
        <w:szCs w:val="20"/>
      </w:rPr>
      <w:t>2026</w:t>
    </w:r>
    <w:r w:rsidR="007122C7">
      <w:rPr>
        <w:color w:val="FF0000"/>
        <w:sz w:val="20"/>
        <w:szCs w:val="20"/>
      </w:rPr>
      <w:br/>
    </w:r>
    <w:r w:rsidR="00157344">
      <w:rPr>
        <w:sz w:val="20"/>
        <w:szCs w:val="20"/>
      </w:rPr>
      <w:t>September</w:t>
    </w:r>
    <w:r w:rsidR="00157344" w:rsidRPr="00157344">
      <w:rPr>
        <w:sz w:val="20"/>
        <w:szCs w:val="20"/>
      </w:rPr>
      <w:t xml:space="preserve"> 202</w:t>
    </w:r>
    <w:r w:rsidR="00157344">
      <w:rPr>
        <w:sz w:val="20"/>
        <w:szCs w:val="20"/>
      </w:rPr>
      <w:t>6</w:t>
    </w:r>
    <w:r w:rsidR="00157344" w:rsidRPr="00157344">
      <w:rPr>
        <w:sz w:val="20"/>
        <w:szCs w:val="20"/>
      </w:rPr>
      <w:t>,</w:t>
    </w:r>
    <w:r w:rsidR="0094179F">
      <w:rPr>
        <w:sz w:val="20"/>
        <w:szCs w:val="20"/>
      </w:rPr>
      <w:t xml:space="preserve"> Edinburgh,</w:t>
    </w:r>
    <w:r w:rsidR="00157344" w:rsidRPr="00157344">
      <w:rPr>
        <w:sz w:val="20"/>
        <w:szCs w:val="20"/>
      </w:rPr>
      <w:t xml:space="preserve"> United Kingdom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EB52D" w14:textId="77777777" w:rsidR="00B022E6" w:rsidRDefault="00B022E6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1A626" w14:textId="77777777" w:rsidR="0035025B" w:rsidRDefault="0035025B">
      <w:pPr>
        <w:spacing w:line="240" w:lineRule="auto"/>
        <w:ind w:left="0" w:hanging="2"/>
      </w:pPr>
      <w:r>
        <w:separator/>
      </w:r>
    </w:p>
  </w:footnote>
  <w:footnote w:type="continuationSeparator" w:id="0">
    <w:p w14:paraId="0C84E44E" w14:textId="77777777" w:rsidR="0035025B" w:rsidRDefault="0035025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008B3" w14:textId="77777777" w:rsidR="00B022E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line="240" w:lineRule="auto"/>
      <w:ind w:left="0" w:hanging="2"/>
      <w:jc w:val="right"/>
      <w:rPr>
        <w:color w:val="000000"/>
        <w:sz w:val="12"/>
        <w:szCs w:val="1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10093CA9" wp14:editId="4D68E873">
              <wp:simplePos x="0" y="0"/>
              <wp:positionH relativeFrom="column">
                <wp:posOffset>38101</wp:posOffset>
              </wp:positionH>
              <wp:positionV relativeFrom="paragraph">
                <wp:posOffset>0</wp:posOffset>
              </wp:positionV>
              <wp:extent cx="1321435" cy="306070"/>
              <wp:effectExtent l="0" t="0" r="0" b="0"/>
              <wp:wrapNone/>
              <wp:docPr id="1036" name="Group 10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21435" cy="306070"/>
                        <a:chOff x="4685275" y="3626950"/>
                        <a:chExt cx="1321450" cy="306100"/>
                      </a:xfrm>
                    </wpg:grpSpPr>
                    <wpg:grpSp>
                      <wpg:cNvPr id="1299828191" name="Group 1299828191"/>
                      <wpg:cNvGrpSpPr/>
                      <wpg:grpSpPr>
                        <a:xfrm>
                          <a:off x="4685283" y="3626965"/>
                          <a:ext cx="1321435" cy="306070"/>
                          <a:chOff x="4685283" y="3626965"/>
                          <a:chExt cx="1321435" cy="306070"/>
                        </a:xfrm>
                      </wpg:grpSpPr>
                      <wps:wsp>
                        <wps:cNvPr id="301476027" name="Rectangle 301476027"/>
                        <wps:cNvSpPr/>
                        <wps:spPr>
                          <a:xfrm>
                            <a:off x="4685283" y="3626965"/>
                            <a:ext cx="1321425" cy="30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7E03682" w14:textId="77777777" w:rsidR="00B022E6" w:rsidRDefault="00B022E6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429098456" name="Group 1429098456"/>
                        <wpg:cNvGrpSpPr/>
                        <wpg:grpSpPr>
                          <a:xfrm>
                            <a:off x="4685283" y="3626965"/>
                            <a:ext cx="1321435" cy="306070"/>
                            <a:chOff x="4685283" y="3626965"/>
                            <a:chExt cx="1321435" cy="306070"/>
                          </a:xfrm>
                        </wpg:grpSpPr>
                        <wps:wsp>
                          <wps:cNvPr id="1310071024" name="Rectangle 1310071024"/>
                          <wps:cNvSpPr/>
                          <wps:spPr>
                            <a:xfrm>
                              <a:off x="4685283" y="3626965"/>
                              <a:ext cx="1321425" cy="306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4BED48E" w14:textId="77777777" w:rsidR="00B022E6" w:rsidRDefault="00B022E6">
                                <w:pPr>
                                  <w:spacing w:line="240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47139859" name="Group 447139859"/>
                          <wpg:cNvGrpSpPr/>
                          <wpg:grpSpPr>
                            <a:xfrm>
                              <a:off x="4685283" y="3626965"/>
                              <a:ext cx="1321435" cy="306070"/>
                              <a:chOff x="4685283" y="3625945"/>
                              <a:chExt cx="1322453" cy="307090"/>
                            </a:xfrm>
                          </wpg:grpSpPr>
                          <wps:wsp>
                            <wps:cNvPr id="211898892" name="Rectangle 211898892"/>
                            <wps:cNvSpPr/>
                            <wps:spPr>
                              <a:xfrm>
                                <a:off x="4685283" y="3625945"/>
                                <a:ext cx="1322450" cy="307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C9CBC7A" w14:textId="77777777" w:rsidR="00B022E6" w:rsidRDefault="00B022E6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930734344" name="Group 1930734344"/>
                            <wpg:cNvGrpSpPr/>
                            <wpg:grpSpPr>
                              <a:xfrm>
                                <a:off x="4685283" y="3625945"/>
                                <a:ext cx="1322453" cy="307090"/>
                                <a:chOff x="0" y="-6"/>
                                <a:chExt cx="7791" cy="1806"/>
                              </a:xfrm>
                            </wpg:grpSpPr>
                            <wps:wsp>
                              <wps:cNvPr id="198755364" name="Rectangle 198755364"/>
                              <wps:cNvSpPr/>
                              <wps:spPr>
                                <a:xfrm>
                                  <a:off x="0" y="0"/>
                                  <a:ext cx="7775" cy="1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C6B6607" w14:textId="77777777" w:rsidR="00B022E6" w:rsidRDefault="00B022E6">
                                    <w:pPr>
                                      <w:spacing w:line="240" w:lineRule="auto"/>
                                      <w:ind w:left="0" w:hanging="2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40779570" name="Rectangle 440779570"/>
                              <wps:cNvSpPr/>
                              <wps:spPr>
                                <a:xfrm>
                                  <a:off x="0" y="0"/>
                                  <a:ext cx="7785" cy="1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6E6E300" w14:textId="77777777" w:rsidR="00B022E6" w:rsidRDefault="00B022E6">
                                    <w:pPr>
                                      <w:spacing w:line="240" w:lineRule="auto"/>
                                      <w:ind w:left="0" w:hanging="2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83022907" name="Freeform 1683022907"/>
                              <wps:cNvSpPr/>
                              <wps:spPr>
                                <a:xfrm>
                                  <a:off x="0" y="30"/>
                                  <a:ext cx="1791" cy="1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3" h="295" extrusionOk="0">
                                      <a:moveTo>
                                        <a:pt x="252" y="189"/>
                                      </a:moveTo>
                                      <a:cubicBezTo>
                                        <a:pt x="223" y="189"/>
                                        <a:pt x="223" y="189"/>
                                        <a:pt x="223" y="189"/>
                                      </a:cubicBezTo>
                                      <a:cubicBezTo>
                                        <a:pt x="214" y="157"/>
                                        <a:pt x="199" y="150"/>
                                        <a:pt x="164" y="150"/>
                                      </a:cubicBezTo>
                                      <a:cubicBezTo>
                                        <a:pt x="115" y="150"/>
                                        <a:pt x="115" y="150"/>
                                        <a:pt x="115" y="150"/>
                                      </a:cubicBezTo>
                                      <a:cubicBezTo>
                                        <a:pt x="115" y="233"/>
                                        <a:pt x="115" y="233"/>
                                        <a:pt x="115" y="233"/>
                                      </a:cubicBezTo>
                                      <a:cubicBezTo>
                                        <a:pt x="115" y="260"/>
                                        <a:pt x="123" y="275"/>
                                        <a:pt x="170" y="275"/>
                                      </a:cubicBezTo>
                                      <a:cubicBezTo>
                                        <a:pt x="211" y="275"/>
                                        <a:pt x="236" y="266"/>
                                        <a:pt x="273" y="222"/>
                                      </a:cubicBezTo>
                                      <a:cubicBezTo>
                                        <a:pt x="303" y="222"/>
                                        <a:pt x="303" y="222"/>
                                        <a:pt x="303" y="222"/>
                                      </a:cubicBezTo>
                                      <a:cubicBezTo>
                                        <a:pt x="290" y="295"/>
                                        <a:pt x="290" y="295"/>
                                        <a:pt x="290" y="295"/>
                                      </a:cubicBezTo>
                                      <a:cubicBezTo>
                                        <a:pt x="0" y="295"/>
                                        <a:pt x="0" y="295"/>
                                        <a:pt x="0" y="295"/>
                                      </a:cubicBezTo>
                                      <a:cubicBezTo>
                                        <a:pt x="0" y="275"/>
                                        <a:pt x="0" y="275"/>
                                        <a:pt x="0" y="275"/>
                                      </a:cubicBezTo>
                                      <a:cubicBezTo>
                                        <a:pt x="27" y="275"/>
                                        <a:pt x="39" y="265"/>
                                        <a:pt x="39" y="238"/>
                                      </a:cubicBezTo>
                                      <a:cubicBezTo>
                                        <a:pt x="39" y="56"/>
                                        <a:pt x="39" y="56"/>
                                        <a:pt x="39" y="56"/>
                                      </a:cubicBezTo>
                                      <a:cubicBezTo>
                                        <a:pt x="39" y="32"/>
                                        <a:pt x="30" y="21"/>
                                        <a:pt x="0" y="21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  <a:cubicBezTo>
                                        <a:pt x="284" y="0"/>
                                        <a:pt x="284" y="0"/>
                                        <a:pt x="284" y="0"/>
                                      </a:cubicBezTo>
                                      <a:cubicBezTo>
                                        <a:pt x="284" y="62"/>
                                        <a:pt x="284" y="62"/>
                                        <a:pt x="284" y="62"/>
                                      </a:cubicBezTo>
                                      <a:cubicBezTo>
                                        <a:pt x="256" y="62"/>
                                        <a:pt x="256" y="62"/>
                                        <a:pt x="256" y="62"/>
                                      </a:cubicBezTo>
                                      <a:cubicBezTo>
                                        <a:pt x="229" y="29"/>
                                        <a:pt x="212" y="21"/>
                                        <a:pt x="176" y="21"/>
                                      </a:cubicBezTo>
                                      <a:cubicBezTo>
                                        <a:pt x="115" y="21"/>
                                        <a:pt x="115" y="21"/>
                                        <a:pt x="115" y="21"/>
                                      </a:cubicBezTo>
                                      <a:cubicBezTo>
                                        <a:pt x="115" y="130"/>
                                        <a:pt x="115" y="130"/>
                                        <a:pt x="115" y="130"/>
                                      </a:cubicBezTo>
                                      <a:cubicBezTo>
                                        <a:pt x="167" y="130"/>
                                        <a:pt x="167" y="130"/>
                                        <a:pt x="167" y="130"/>
                                      </a:cubicBezTo>
                                      <a:cubicBezTo>
                                        <a:pt x="202" y="130"/>
                                        <a:pt x="217" y="120"/>
                                        <a:pt x="223" y="94"/>
                                      </a:cubicBezTo>
                                      <a:cubicBezTo>
                                        <a:pt x="252" y="94"/>
                                        <a:pt x="252" y="94"/>
                                        <a:pt x="252" y="94"/>
                                      </a:cubicBezTo>
                                      <a:lnTo>
                                        <a:pt x="252" y="18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273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7EC9767" w14:textId="77777777" w:rsidR="00B022E6" w:rsidRDefault="00B022E6">
                                    <w:pPr>
                                      <w:spacing w:line="240" w:lineRule="auto"/>
                                      <w:ind w:left="0" w:hanging="2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43365161" name="Freeform 1143365161"/>
                              <wps:cNvSpPr/>
                              <wps:spPr>
                                <a:xfrm>
                                  <a:off x="1856" y="30"/>
                                  <a:ext cx="1962" cy="1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2" h="295" extrusionOk="0">
                                      <a:moveTo>
                                        <a:pt x="183" y="159"/>
                                      </a:moveTo>
                                      <a:cubicBezTo>
                                        <a:pt x="101" y="159"/>
                                        <a:pt x="101" y="159"/>
                                        <a:pt x="101" y="159"/>
                                      </a:cubicBezTo>
                                      <a:cubicBezTo>
                                        <a:pt x="140" y="50"/>
                                        <a:pt x="140" y="50"/>
                                        <a:pt x="140" y="50"/>
                                      </a:cubicBezTo>
                                      <a:lnTo>
                                        <a:pt x="183" y="159"/>
                                      </a:lnTo>
                                      <a:close/>
                                      <a:moveTo>
                                        <a:pt x="193" y="184"/>
                                      </a:moveTo>
                                      <a:cubicBezTo>
                                        <a:pt x="212" y="234"/>
                                        <a:pt x="212" y="234"/>
                                        <a:pt x="212" y="234"/>
                                      </a:cubicBezTo>
                                      <a:cubicBezTo>
                                        <a:pt x="222" y="261"/>
                                        <a:pt x="215" y="272"/>
                                        <a:pt x="186" y="275"/>
                                      </a:cubicBezTo>
                                      <a:cubicBezTo>
                                        <a:pt x="186" y="295"/>
                                        <a:pt x="186" y="295"/>
                                        <a:pt x="186" y="295"/>
                                      </a:cubicBezTo>
                                      <a:cubicBezTo>
                                        <a:pt x="332" y="295"/>
                                        <a:pt x="332" y="295"/>
                                        <a:pt x="332" y="295"/>
                                      </a:cubicBezTo>
                                      <a:cubicBezTo>
                                        <a:pt x="332" y="275"/>
                                        <a:pt x="332" y="275"/>
                                        <a:pt x="332" y="275"/>
                                      </a:cubicBezTo>
                                      <a:cubicBezTo>
                                        <a:pt x="314" y="275"/>
                                        <a:pt x="303" y="264"/>
                                        <a:pt x="294" y="239"/>
                                      </a:cubicBezTo>
                                      <a:cubicBezTo>
                                        <a:pt x="201" y="0"/>
                                        <a:pt x="201" y="0"/>
                                        <a:pt x="201" y="0"/>
                                      </a:cubicBezTo>
                                      <a:cubicBezTo>
                                        <a:pt x="120" y="0"/>
                                        <a:pt x="120" y="0"/>
                                        <a:pt x="120" y="0"/>
                                      </a:cubicBezTo>
                                      <a:cubicBezTo>
                                        <a:pt x="130" y="21"/>
                                        <a:pt x="130" y="21"/>
                                        <a:pt x="130" y="21"/>
                                      </a:cubicBezTo>
                                      <a:cubicBezTo>
                                        <a:pt x="45" y="236"/>
                                        <a:pt x="45" y="236"/>
                                        <a:pt x="45" y="236"/>
                                      </a:cubicBezTo>
                                      <a:cubicBezTo>
                                        <a:pt x="37" y="257"/>
                                        <a:pt x="29" y="269"/>
                                        <a:pt x="0" y="275"/>
                                      </a:cubicBezTo>
                                      <a:cubicBezTo>
                                        <a:pt x="0" y="295"/>
                                        <a:pt x="0" y="295"/>
                                        <a:pt x="0" y="295"/>
                                      </a:cubicBezTo>
                                      <a:cubicBezTo>
                                        <a:pt x="101" y="295"/>
                                        <a:pt x="101" y="295"/>
                                        <a:pt x="101" y="295"/>
                                      </a:cubicBezTo>
                                      <a:cubicBezTo>
                                        <a:pt x="101" y="275"/>
                                        <a:pt x="101" y="275"/>
                                        <a:pt x="101" y="275"/>
                                      </a:cubicBezTo>
                                      <a:cubicBezTo>
                                        <a:pt x="74" y="272"/>
                                        <a:pt x="68" y="252"/>
                                        <a:pt x="78" y="224"/>
                                      </a:cubicBezTo>
                                      <a:cubicBezTo>
                                        <a:pt x="91" y="184"/>
                                        <a:pt x="91" y="184"/>
                                        <a:pt x="91" y="184"/>
                                      </a:cubicBezTo>
                                      <a:lnTo>
                                        <a:pt x="193" y="1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273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CCB41B9" w14:textId="77777777" w:rsidR="00B022E6" w:rsidRDefault="00B022E6">
                                    <w:pPr>
                                      <w:spacing w:line="240" w:lineRule="auto"/>
                                      <w:ind w:left="0" w:hanging="2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68909776" name="Freeform 1668909776"/>
                              <wps:cNvSpPr/>
                              <wps:spPr>
                                <a:xfrm>
                                  <a:off x="3895" y="-6"/>
                                  <a:ext cx="1980" cy="18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5" h="307" extrusionOk="0">
                                      <a:moveTo>
                                        <a:pt x="272" y="94"/>
                                      </a:moveTo>
                                      <a:cubicBezTo>
                                        <a:pt x="253" y="49"/>
                                        <a:pt x="214" y="21"/>
                                        <a:pt x="171" y="21"/>
                                      </a:cubicBezTo>
                                      <a:cubicBezTo>
                                        <a:pt x="114" y="21"/>
                                        <a:pt x="83" y="67"/>
                                        <a:pt x="83" y="150"/>
                                      </a:cubicBezTo>
                                      <a:cubicBezTo>
                                        <a:pt x="83" y="236"/>
                                        <a:pt x="120" y="286"/>
                                        <a:pt x="183" y="286"/>
                                      </a:cubicBezTo>
                                      <a:cubicBezTo>
                                        <a:pt x="200" y="286"/>
                                        <a:pt x="213" y="283"/>
                                        <a:pt x="226" y="275"/>
                                      </a:cubicBezTo>
                                      <a:cubicBezTo>
                                        <a:pt x="226" y="213"/>
                                        <a:pt x="226" y="213"/>
                                        <a:pt x="226" y="213"/>
                                      </a:cubicBezTo>
                                      <a:cubicBezTo>
                                        <a:pt x="226" y="187"/>
                                        <a:pt x="219" y="175"/>
                                        <a:pt x="187" y="175"/>
                                      </a:cubicBezTo>
                                      <a:cubicBezTo>
                                        <a:pt x="187" y="154"/>
                                        <a:pt x="187" y="154"/>
                                        <a:pt x="187" y="154"/>
                                      </a:cubicBezTo>
                                      <a:cubicBezTo>
                                        <a:pt x="335" y="154"/>
                                        <a:pt x="335" y="154"/>
                                        <a:pt x="335" y="154"/>
                                      </a:cubicBezTo>
                                      <a:cubicBezTo>
                                        <a:pt x="335" y="175"/>
                                        <a:pt x="335" y="175"/>
                                        <a:pt x="335" y="175"/>
                                      </a:cubicBezTo>
                                      <a:cubicBezTo>
                                        <a:pt x="310" y="175"/>
                                        <a:pt x="302" y="187"/>
                                        <a:pt x="302" y="211"/>
                                      </a:cubicBezTo>
                                      <a:cubicBezTo>
                                        <a:pt x="302" y="284"/>
                                        <a:pt x="302" y="284"/>
                                        <a:pt x="302" y="284"/>
                                      </a:cubicBezTo>
                                      <a:cubicBezTo>
                                        <a:pt x="280" y="295"/>
                                        <a:pt x="215" y="307"/>
                                        <a:pt x="171" y="307"/>
                                      </a:cubicBezTo>
                                      <a:cubicBezTo>
                                        <a:pt x="65" y="307"/>
                                        <a:pt x="0" y="251"/>
                                        <a:pt x="0" y="159"/>
                                      </a:cubicBezTo>
                                      <a:cubicBezTo>
                                        <a:pt x="0" y="76"/>
                                        <a:pt x="61" y="0"/>
                                        <a:pt x="174" y="0"/>
                                      </a:cubicBezTo>
                                      <a:cubicBezTo>
                                        <a:pt x="220" y="0"/>
                                        <a:pt x="269" y="10"/>
                                        <a:pt x="295" y="27"/>
                                      </a:cubicBezTo>
                                      <a:cubicBezTo>
                                        <a:pt x="300" y="94"/>
                                        <a:pt x="300" y="94"/>
                                        <a:pt x="300" y="94"/>
                                      </a:cubicBezTo>
                                      <a:lnTo>
                                        <a:pt x="272" y="9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273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34326CE" w14:textId="77777777" w:rsidR="00B022E6" w:rsidRDefault="00B022E6">
                                    <w:pPr>
                                      <w:spacing w:line="240" w:lineRule="auto"/>
                                      <w:ind w:left="0" w:hanging="2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30978552" name="Freeform 530978552"/>
                              <wps:cNvSpPr/>
                              <wps:spPr>
                                <a:xfrm>
                                  <a:off x="6000" y="30"/>
                                  <a:ext cx="1791" cy="1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3" h="295" extrusionOk="0">
                                      <a:moveTo>
                                        <a:pt x="252" y="189"/>
                                      </a:moveTo>
                                      <a:cubicBezTo>
                                        <a:pt x="223" y="189"/>
                                        <a:pt x="223" y="189"/>
                                        <a:pt x="223" y="189"/>
                                      </a:cubicBezTo>
                                      <a:cubicBezTo>
                                        <a:pt x="214" y="157"/>
                                        <a:pt x="199" y="150"/>
                                        <a:pt x="165" y="150"/>
                                      </a:cubicBezTo>
                                      <a:cubicBezTo>
                                        <a:pt x="115" y="150"/>
                                        <a:pt x="115" y="150"/>
                                        <a:pt x="115" y="150"/>
                                      </a:cubicBezTo>
                                      <a:cubicBezTo>
                                        <a:pt x="115" y="233"/>
                                        <a:pt x="115" y="233"/>
                                        <a:pt x="115" y="233"/>
                                      </a:cubicBezTo>
                                      <a:cubicBezTo>
                                        <a:pt x="115" y="260"/>
                                        <a:pt x="123" y="275"/>
                                        <a:pt x="171" y="275"/>
                                      </a:cubicBezTo>
                                      <a:cubicBezTo>
                                        <a:pt x="212" y="275"/>
                                        <a:pt x="236" y="266"/>
                                        <a:pt x="273" y="222"/>
                                      </a:cubicBezTo>
                                      <a:cubicBezTo>
                                        <a:pt x="303" y="222"/>
                                        <a:pt x="303" y="222"/>
                                        <a:pt x="303" y="222"/>
                                      </a:cubicBezTo>
                                      <a:cubicBezTo>
                                        <a:pt x="290" y="295"/>
                                        <a:pt x="290" y="295"/>
                                        <a:pt x="290" y="295"/>
                                      </a:cubicBezTo>
                                      <a:cubicBezTo>
                                        <a:pt x="0" y="295"/>
                                        <a:pt x="0" y="295"/>
                                        <a:pt x="0" y="295"/>
                                      </a:cubicBezTo>
                                      <a:cubicBezTo>
                                        <a:pt x="0" y="275"/>
                                        <a:pt x="0" y="275"/>
                                        <a:pt x="0" y="275"/>
                                      </a:cubicBezTo>
                                      <a:cubicBezTo>
                                        <a:pt x="27" y="275"/>
                                        <a:pt x="39" y="265"/>
                                        <a:pt x="39" y="238"/>
                                      </a:cubicBezTo>
                                      <a:cubicBezTo>
                                        <a:pt x="39" y="56"/>
                                        <a:pt x="39" y="56"/>
                                        <a:pt x="39" y="56"/>
                                      </a:cubicBezTo>
                                      <a:cubicBezTo>
                                        <a:pt x="39" y="32"/>
                                        <a:pt x="30" y="21"/>
                                        <a:pt x="0" y="21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  <a:cubicBezTo>
                                        <a:pt x="284" y="0"/>
                                        <a:pt x="284" y="0"/>
                                        <a:pt x="284" y="0"/>
                                      </a:cubicBezTo>
                                      <a:cubicBezTo>
                                        <a:pt x="284" y="62"/>
                                        <a:pt x="284" y="62"/>
                                        <a:pt x="284" y="62"/>
                                      </a:cubicBezTo>
                                      <a:cubicBezTo>
                                        <a:pt x="256" y="62"/>
                                        <a:pt x="256" y="62"/>
                                        <a:pt x="256" y="62"/>
                                      </a:cubicBezTo>
                                      <a:cubicBezTo>
                                        <a:pt x="229" y="29"/>
                                        <a:pt x="212" y="21"/>
                                        <a:pt x="176" y="21"/>
                                      </a:cubicBezTo>
                                      <a:cubicBezTo>
                                        <a:pt x="115" y="21"/>
                                        <a:pt x="115" y="21"/>
                                        <a:pt x="115" y="21"/>
                                      </a:cubicBezTo>
                                      <a:cubicBezTo>
                                        <a:pt x="115" y="130"/>
                                        <a:pt x="115" y="130"/>
                                        <a:pt x="115" y="130"/>
                                      </a:cubicBezTo>
                                      <a:cubicBezTo>
                                        <a:pt x="167" y="130"/>
                                        <a:pt x="167" y="130"/>
                                        <a:pt x="167" y="130"/>
                                      </a:cubicBezTo>
                                      <a:cubicBezTo>
                                        <a:pt x="203" y="130"/>
                                        <a:pt x="217" y="120"/>
                                        <a:pt x="223" y="94"/>
                                      </a:cubicBezTo>
                                      <a:cubicBezTo>
                                        <a:pt x="252" y="94"/>
                                        <a:pt x="252" y="94"/>
                                        <a:pt x="252" y="94"/>
                                      </a:cubicBezTo>
                                      <a:lnTo>
                                        <a:pt x="252" y="18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273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4F702D2" w14:textId="77777777" w:rsidR="00B022E6" w:rsidRDefault="00B022E6">
                                    <w:pPr>
                                      <w:spacing w:line="240" w:lineRule="auto"/>
                                      <w:ind w:left="0" w:hanging="2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10093CA9" id="Group 1036" o:spid="_x0000_s1026" style="position:absolute;left:0;text-align:left;margin-left:3pt;margin-top:0;width:104.05pt;height:24.1pt;z-index:251659264" coordorigin="46852,36269" coordsize="13214,3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">
              <v:group id="Group 1299828191" o:spid="_x0000_s1027" style="position:absolute;left:46852;top:36269;width:13215;height:3061" coordorigin="46852,36269" coordsize="13214,3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">
                <v:rect id="Rectangle 301476027" o:spid="_x0000_s1028" style="position:absolute;left:46852;top:36269;width:13215;height:30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" filled="f" stroked="f">
                  <v:textbox inset="2.53958mm,2.53958mm,2.53958mm,2.53958mm">
                    <w:txbxContent>
                      <w:p w14:paraId="67E03682" w14:textId="77777777" w:rsidR="00B022E6" w:rsidRDefault="00B022E6">
                        <w:pPr>
                          <w:spacing w:line="240" w:lineRule="auto"/>
                          <w:ind w:left="0" w:hanging="2"/>
                        </w:pPr>
                      </w:p>
                    </w:txbxContent>
                  </v:textbox>
                </v:rect>
                <v:group id="Group 1429098456" o:spid="_x0000_s1029" style="position:absolute;left:46852;top:36269;width:13215;height:3061" coordorigin="46852,36269" coordsize="13214,3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">
                  <v:rect id="Rectangle 1310071024" o:spid="_x0000_s1030" style="position:absolute;left:46852;top:36269;width:13215;height:30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24BED48E" w14:textId="77777777" w:rsidR="00B022E6" w:rsidRDefault="00B022E6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v:textbox>
                  </v:rect>
                  <v:group id="Group 447139859" o:spid="_x0000_s1031" style="position:absolute;left:46852;top:36269;width:13215;height:3061" coordorigin="46852,36259" coordsize="13224,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">
                    <v:rect id="Rectangle 211898892" o:spid="_x0000_s1032" style="position:absolute;left:46852;top:36259;width:13225;height:3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" filled="f" stroked="f">
                      <v:textbox inset="2.53958mm,2.53958mm,2.53958mm,2.53958mm">
                        <w:txbxContent>
                          <w:p w14:paraId="6C9CBC7A" w14:textId="77777777" w:rsidR="00B022E6" w:rsidRDefault="00B022E6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  <v:group id="Group 1930734344" o:spid="_x0000_s1033" style="position:absolute;left:46852;top:36259;width:13225;height:3071" coordorigin=",-6" coordsize="7791,1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">
                      <v:rect id="Rectangle 198755364" o:spid="_x0000_s1034" style="position:absolute;width:7775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" filled="f" stroked="f">
                        <v:textbox inset="2.53958mm,2.53958mm,2.53958mm,2.53958mm">
                          <w:txbxContent>
                            <w:p w14:paraId="5C6B6607" w14:textId="77777777" w:rsidR="00B022E6" w:rsidRDefault="00B022E6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v:textbox>
                      </v:rect>
                      <v:rect id="Rectangle 440779570" o:spid="_x0000_s1035" style="position:absolute;width:7785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" filled="f" stroked="f">
                        <v:textbox inset="2.53958mm,2.53958mm,2.53958mm,2.53958mm">
                          <w:txbxContent>
                            <w:p w14:paraId="76E6E300" w14:textId="77777777" w:rsidR="00B022E6" w:rsidRDefault="00B022E6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v:textbox>
                      </v:rect>
                      <v:shape id="Freeform 1683022907" o:spid="_x0000_s1036" style="position:absolute;top:30;width:1791;height:1735;visibility:visible;mso-wrap-style:square;v-text-anchor:middle" coordsize="303,2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" adj="-11796480,,5400" path="m252,189v-29,,-29,,-29,c214,157,199,150,164,150v-49,,-49,,-49,c115,233,115,233,115,233v,27,8,42,55,42c211,275,236,266,273,222v30,,30,,30,c290,295,290,295,290,295,,295,,295,,295,,275,,275,,275v27,,39,-10,39,-37c39,56,39,56,39,56,39,32,30,21,,21,,,,,,,284,,284,,284,v,62,,62,,62c256,62,256,62,256,62,229,29,212,21,176,21v-61,,-61,,-61,c115,130,115,130,115,130v52,,52,,52,c202,130,217,120,223,94v29,,29,,29,l252,189xe" fillcolor="#009273" stroked="f">
                        <v:stroke joinstyle="miter"/>
                        <v:formulas/>
                        <v:path arrowok="t" o:extrusionok="f" o:connecttype="custom" textboxrect="0,0,303,295"/>
                        <v:textbox inset="2.53958mm,2.53958mm,2.53958mm,2.53958mm">
                          <w:txbxContent>
                            <w:p w14:paraId="07EC9767" w14:textId="77777777" w:rsidR="00B022E6" w:rsidRDefault="00B022E6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v:textbox>
                      </v:shape>
                      <v:shape id="Freeform 1143365161" o:spid="_x0000_s1037" style="position:absolute;left:1856;top:30;width:1962;height:1735;visibility:visible;mso-wrap-style:square;v-text-anchor:middle" coordsize="332,2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" adj="-11796480,,5400" path="m183,159v-82,,-82,,-82,c140,50,140,50,140,50r43,109xm193,184v19,50,19,50,19,50c222,261,215,272,186,275v,20,,20,,20c332,295,332,295,332,295v,-20,,-20,,-20c314,275,303,264,294,239,201,,201,,201,,120,,120,,120,v10,21,10,21,10,21c45,236,45,236,45,236,37,257,29,269,,275v,20,,20,,20c101,295,101,295,101,295v,-20,,-20,,-20c74,272,68,252,78,224,91,184,91,184,91,184r102,xe" fillcolor="#009273" stroked="f">
                        <v:stroke joinstyle="miter"/>
                        <v:formulas/>
                        <v:path arrowok="t" o:extrusionok="f" o:connecttype="custom" textboxrect="0,0,332,295"/>
                        <v:textbox inset="2.53958mm,2.53958mm,2.53958mm,2.53958mm">
                          <w:txbxContent>
                            <w:p w14:paraId="2CCB41B9" w14:textId="77777777" w:rsidR="00B022E6" w:rsidRDefault="00B022E6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v:textbox>
                      </v:shape>
                      <v:shape id="Freeform 1668909776" o:spid="_x0000_s1038" style="position:absolute;left:3895;top:-6;width:1980;height:1806;visibility:visible;mso-wrap-style:square;v-text-anchor:middle" coordsize="335,30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" adj="-11796480,,5400" path="m272,94c253,49,214,21,171,21,114,21,83,67,83,150v,86,37,136,100,136c200,286,213,283,226,275v,-62,,-62,,-62c226,187,219,175,187,175v,-21,,-21,,-21c335,154,335,154,335,154v,21,,21,,21c310,175,302,187,302,211v,73,,73,,73c280,295,215,307,171,307,65,307,,251,,159,,76,61,,174,v46,,95,10,121,27c300,94,300,94,300,94r-28,xe" fillcolor="#009273" stroked="f">
                        <v:stroke joinstyle="miter"/>
                        <v:formulas/>
                        <v:path arrowok="t" o:extrusionok="f" o:connecttype="custom" textboxrect="0,0,335,307"/>
                        <v:textbox inset="2.53958mm,2.53958mm,2.53958mm,2.53958mm">
                          <w:txbxContent>
                            <w:p w14:paraId="334326CE" w14:textId="77777777" w:rsidR="00B022E6" w:rsidRDefault="00B022E6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v:textbox>
                      </v:shape>
                      <v:shape id="Freeform 530978552" o:spid="_x0000_s1039" style="position:absolute;left:6000;top:30;width:1791;height:1735;visibility:visible;mso-wrap-style:square;v-text-anchor:middle" coordsize="303,2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" adj="-11796480,,5400" path="m252,189v-29,,-29,,-29,c214,157,199,150,165,150v-50,,-50,,-50,c115,233,115,233,115,233v,27,8,42,56,42c212,275,236,266,273,222v30,,30,,30,c290,295,290,295,290,295,,295,,295,,295,,275,,275,,275v27,,39,-10,39,-37c39,56,39,56,39,56,39,32,30,21,,21,,,,,,,284,,284,,284,v,62,,62,,62c256,62,256,62,256,62,229,29,212,21,176,21v-61,,-61,,-61,c115,130,115,130,115,130v52,,52,,52,c203,130,217,120,223,94v29,,29,,29,l252,189xe" fillcolor="#009273" stroked="f">
                        <v:stroke joinstyle="miter"/>
                        <v:formulas/>
                        <v:path arrowok="t" o:extrusionok="f" o:connecttype="custom" textboxrect="0,0,303,295"/>
                        <v:textbox inset="2.53958mm,2.53958mm,2.53958mm,2.53958mm">
                          <w:txbxContent>
                            <w:p w14:paraId="24F702D2" w14:textId="77777777" w:rsidR="00B022E6" w:rsidRDefault="00B022E6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v:textbox>
                      </v:shape>
                    </v:group>
                  </v:group>
                </v:group>
              </v:group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9DA83" w14:textId="058D74B5" w:rsidR="00B022E6" w:rsidRDefault="00762C72">
    <w:pPr>
      <w:tabs>
        <w:tab w:val="center" w:pos="4703"/>
        <w:tab w:val="right" w:pos="9406"/>
      </w:tabs>
      <w:ind w:left="0" w:hanging="2"/>
      <w:jc w:val="right"/>
      <w:rPr>
        <w:color w:val="000000"/>
        <w:sz w:val="12"/>
        <w:szCs w:val="12"/>
      </w:rPr>
    </w:pPr>
    <w:r>
      <w:rPr>
        <w:noProof/>
      </w:rPr>
      <w:drawing>
        <wp:inline distT="0" distB="0" distL="0" distR="0" wp14:anchorId="0FA5B1B6" wp14:editId="08CE398E">
          <wp:extent cx="771083" cy="771083"/>
          <wp:effectExtent l="0" t="0" r="3810" b="3810"/>
          <wp:docPr id="196202209" name="Picture 1" descr="A logo of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202209" name="Picture 1" descr="A logo of a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972" cy="8609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C08B09" w14:textId="77777777" w:rsidR="00B022E6" w:rsidRDefault="00B022E6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line="240" w:lineRule="auto"/>
      <w:rPr>
        <w:color w:val="000000"/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84DBA" w14:textId="77777777" w:rsidR="00B022E6" w:rsidRDefault="00000000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703"/>
        <w:tab w:val="right" w:pos="9406"/>
      </w:tabs>
      <w:spacing w:line="240" w:lineRule="auto"/>
      <w:ind w:left="0" w:hanging="2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color w:val="000000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40611"/>
    <w:multiLevelType w:val="multilevel"/>
    <w:tmpl w:val="F80EFC2A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517019D"/>
    <w:multiLevelType w:val="multilevel"/>
    <w:tmpl w:val="3716CE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pStyle w:val="ParaLis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53F760C0"/>
    <w:multiLevelType w:val="multilevel"/>
    <w:tmpl w:val="C44E9E0C"/>
    <w:lvl w:ilvl="0">
      <w:start w:val="1"/>
      <w:numFmt w:val="bullet"/>
      <w:pStyle w:val="a"/>
      <w:lvlText w:val="●"/>
      <w:lvlJc w:val="left"/>
      <w:pPr>
        <w:ind w:left="644" w:hanging="357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09868990">
    <w:abstractNumId w:val="2"/>
  </w:num>
  <w:num w:numId="2" w16cid:durableId="207305906">
    <w:abstractNumId w:val="1"/>
  </w:num>
  <w:num w:numId="3" w16cid:durableId="1183470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2E6"/>
    <w:rsid w:val="000E5C61"/>
    <w:rsid w:val="00157344"/>
    <w:rsid w:val="001647B5"/>
    <w:rsid w:val="001A1BE8"/>
    <w:rsid w:val="002014F5"/>
    <w:rsid w:val="002052C9"/>
    <w:rsid w:val="00250C5C"/>
    <w:rsid w:val="002D692D"/>
    <w:rsid w:val="00314622"/>
    <w:rsid w:val="0035025B"/>
    <w:rsid w:val="003562F6"/>
    <w:rsid w:val="003819C4"/>
    <w:rsid w:val="003B30AE"/>
    <w:rsid w:val="003C0ED0"/>
    <w:rsid w:val="0040742E"/>
    <w:rsid w:val="0043670A"/>
    <w:rsid w:val="004F721E"/>
    <w:rsid w:val="0050007F"/>
    <w:rsid w:val="00507E9E"/>
    <w:rsid w:val="005409F9"/>
    <w:rsid w:val="00584DF1"/>
    <w:rsid w:val="005912A6"/>
    <w:rsid w:val="00613FD1"/>
    <w:rsid w:val="006D3978"/>
    <w:rsid w:val="00706E09"/>
    <w:rsid w:val="007122C7"/>
    <w:rsid w:val="0073710E"/>
    <w:rsid w:val="00745E5B"/>
    <w:rsid w:val="00762C72"/>
    <w:rsid w:val="008101FC"/>
    <w:rsid w:val="00820B41"/>
    <w:rsid w:val="00823A02"/>
    <w:rsid w:val="00830FE5"/>
    <w:rsid w:val="008F61BD"/>
    <w:rsid w:val="00917AF8"/>
    <w:rsid w:val="0094179F"/>
    <w:rsid w:val="009553E0"/>
    <w:rsid w:val="00AB13CB"/>
    <w:rsid w:val="00B022E6"/>
    <w:rsid w:val="00B92241"/>
    <w:rsid w:val="00D20967"/>
    <w:rsid w:val="00D2724D"/>
    <w:rsid w:val="00D3631F"/>
    <w:rsid w:val="00D406FE"/>
    <w:rsid w:val="00D508A3"/>
    <w:rsid w:val="00D51583"/>
    <w:rsid w:val="00E8322F"/>
    <w:rsid w:val="00E95056"/>
    <w:rsid w:val="00F70A4E"/>
    <w:rsid w:val="00FB001A"/>
    <w:rsid w:val="00FC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6F494D"/>
  <w15:docId w15:val="{EC629850-2971-B244-A386-C029A59D8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GB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1">
    <w:name w:val="heading 1"/>
    <w:basedOn w:val="a0"/>
    <w:next w:val="a0"/>
    <w:uiPriority w:val="9"/>
    <w:qFormat/>
    <w:pPr>
      <w:keepNext/>
      <w:spacing w:before="240" w:after="60"/>
    </w:pPr>
    <w:rPr>
      <w:rFonts w:ascii="Arial" w:hAnsi="Arial"/>
      <w:b/>
      <w:kern w:val="28"/>
      <w:sz w:val="28"/>
    </w:rPr>
  </w:style>
  <w:style w:type="paragraph" w:styleId="20">
    <w:name w:val="heading 2"/>
    <w:basedOn w:val="a0"/>
    <w:next w:val="a0"/>
    <w:uiPriority w:val="9"/>
    <w:semiHidden/>
    <w:unhideWhenUsed/>
    <w:qFormat/>
    <w:pPr>
      <w:keepNext/>
      <w:framePr w:w="9356" w:hSpace="142" w:vSpace="284" w:wrap="notBeside" w:vAnchor="text" w:hAnchor="text" w:x="1146" w:y="-112"/>
      <w:spacing w:before="60"/>
      <w:jc w:val="right"/>
      <w:outlineLvl w:val="1"/>
    </w:pPr>
    <w:rPr>
      <w:rFonts w:ascii="Arial" w:hAnsi="Arial"/>
      <w:i/>
      <w:sz w:val="16"/>
    </w:rPr>
  </w:style>
  <w:style w:type="paragraph" w:styleId="3">
    <w:name w:val="heading 3"/>
    <w:basedOn w:val="a0"/>
    <w:next w:val="a0"/>
    <w:uiPriority w:val="9"/>
    <w:semiHidden/>
    <w:unhideWhenUsed/>
    <w:qFormat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0"/>
    <w:next w:val="a0"/>
    <w:uiPriority w:val="9"/>
    <w:semiHidden/>
    <w:unhideWhenUsed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">
    <w:name w:val="heading 5"/>
    <w:basedOn w:val="a0"/>
    <w:next w:val="a0"/>
    <w:uiPriority w:val="9"/>
    <w:semiHidden/>
    <w:unhideWhenUsed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0"/>
    <w:next w:val="a0"/>
    <w:uiPriority w:val="9"/>
    <w:semiHidden/>
    <w:unhideWhenUsed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0"/>
    <w:next w:val="a0"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styleId="a5">
    <w:name w:val="page number"/>
    <w:basedOn w:val="a1"/>
    <w:rPr>
      <w:w w:val="100"/>
      <w:position w:val="-1"/>
      <w:effect w:val="none"/>
      <w:vertAlign w:val="baseline"/>
      <w:cs w:val="0"/>
      <w:em w:val="none"/>
    </w:rPr>
  </w:style>
  <w:style w:type="paragraph" w:customStyle="1" w:styleId="AUTHOR">
    <w:name w:val="AUTHOR"/>
    <w:basedOn w:val="a0"/>
    <w:pPr>
      <w:framePr w:w="9356" w:hSpace="142" w:vSpace="284" w:wrap="notBeside" w:vAnchor="text" w:hAnchor="text" w:x="1146" w:y="-112"/>
      <w:spacing w:before="60"/>
      <w:jc w:val="right"/>
    </w:pPr>
    <w:rPr>
      <w:rFonts w:ascii="Arial" w:hAnsi="Arial"/>
      <w:caps/>
      <w:sz w:val="16"/>
    </w:rPr>
  </w:style>
  <w:style w:type="paragraph" w:styleId="a6">
    <w:name w:val="header"/>
    <w:basedOn w:val="a0"/>
    <w:pPr>
      <w:tabs>
        <w:tab w:val="center" w:pos="4703"/>
        <w:tab w:val="right" w:pos="9406"/>
      </w:tabs>
      <w:jc w:val="center"/>
    </w:pPr>
    <w:rPr>
      <w:sz w:val="20"/>
      <w:lang w:val="en-GB"/>
    </w:rPr>
  </w:style>
  <w:style w:type="paragraph" w:styleId="a7">
    <w:name w:val="footer"/>
    <w:basedOn w:val="a0"/>
    <w:pPr>
      <w:tabs>
        <w:tab w:val="center" w:pos="4703"/>
        <w:tab w:val="right" w:pos="9406"/>
      </w:tabs>
    </w:pPr>
  </w:style>
  <w:style w:type="paragraph" w:customStyle="1" w:styleId="ParagraphNorm">
    <w:name w:val="ParagraphNorm"/>
    <w:basedOn w:val="a0"/>
    <w:pPr>
      <w:spacing w:before="120"/>
      <w:jc w:val="both"/>
    </w:pPr>
  </w:style>
  <w:style w:type="paragraph" w:customStyle="1" w:styleId="ParaList">
    <w:name w:val="ParaList"/>
    <w:basedOn w:val="ParagraphNorm"/>
    <w:pPr>
      <w:numPr>
        <w:ilvl w:val="11"/>
        <w:numId w:val="2"/>
      </w:numPr>
      <w:tabs>
        <w:tab w:val="left" w:pos="567"/>
      </w:tabs>
      <w:ind w:left="851" w:hanging="284"/>
    </w:pPr>
  </w:style>
  <w:style w:type="paragraph" w:styleId="a8">
    <w:name w:val="caption"/>
    <w:basedOn w:val="a0"/>
    <w:next w:val="a0"/>
    <w:pPr>
      <w:framePr w:w="9663" w:hSpace="142" w:vSpace="284" w:wrap="notBeside" w:vAnchor="text" w:hAnchor="text" w:x="1146" w:y="-112"/>
      <w:tabs>
        <w:tab w:val="right" w:pos="8505"/>
      </w:tabs>
    </w:pPr>
    <w:rPr>
      <w:b/>
      <w:sz w:val="36"/>
    </w:rPr>
  </w:style>
  <w:style w:type="paragraph" w:customStyle="1" w:styleId="Heading1">
    <w:name w:val="Heading1"/>
    <w:basedOn w:val="ParagraphNorm"/>
    <w:next w:val="1"/>
    <w:pPr>
      <w:spacing w:before="240" w:after="120"/>
      <w:ind w:firstLine="0"/>
      <w:jc w:val="left"/>
    </w:pPr>
    <w:rPr>
      <w:b/>
    </w:rPr>
  </w:style>
  <w:style w:type="paragraph" w:customStyle="1" w:styleId="Heading2">
    <w:name w:val="Heading2"/>
    <w:basedOn w:val="ParagraphNorm"/>
    <w:next w:val="20"/>
    <w:pPr>
      <w:spacing w:after="120"/>
      <w:ind w:firstLine="0"/>
      <w:jc w:val="left"/>
    </w:pPr>
    <w:rPr>
      <w:i/>
    </w:rPr>
  </w:style>
  <w:style w:type="paragraph" w:customStyle="1" w:styleId="Symbol">
    <w:name w:val="Symbol"/>
    <w:basedOn w:val="ParagraphNorm"/>
    <w:pPr>
      <w:tabs>
        <w:tab w:val="left" w:pos="851"/>
      </w:tabs>
      <w:spacing w:before="0"/>
      <w:jc w:val="left"/>
    </w:pPr>
  </w:style>
  <w:style w:type="paragraph" w:customStyle="1" w:styleId="Equation">
    <w:name w:val="Equation"/>
    <w:basedOn w:val="ParagraphNorm"/>
    <w:pPr>
      <w:jc w:val="right"/>
    </w:pPr>
  </w:style>
  <w:style w:type="paragraph" w:customStyle="1" w:styleId="References">
    <w:name w:val="References"/>
    <w:basedOn w:val="ParaList"/>
    <w:pPr>
      <w:ind w:left="567" w:hanging="567"/>
    </w:pPr>
  </w:style>
  <w:style w:type="paragraph" w:customStyle="1" w:styleId="TableLegend">
    <w:name w:val="TableLegend"/>
    <w:basedOn w:val="ParagraphNorm"/>
    <w:pPr>
      <w:spacing w:after="120"/>
      <w:jc w:val="center"/>
    </w:pPr>
  </w:style>
  <w:style w:type="paragraph" w:customStyle="1" w:styleId="FigLegend">
    <w:name w:val="FigLegend"/>
    <w:basedOn w:val="ParagraphNorm"/>
    <w:pPr>
      <w:spacing w:after="120"/>
      <w:jc w:val="center"/>
    </w:pPr>
  </w:style>
  <w:style w:type="paragraph" w:customStyle="1" w:styleId="Acknowledgment">
    <w:name w:val="Acknowledgment"/>
    <w:basedOn w:val="Heading2"/>
    <w:pPr>
      <w:jc w:val="both"/>
    </w:pPr>
    <w:rPr>
      <w:sz w:val="20"/>
    </w:rPr>
  </w:style>
  <w:style w:type="paragraph" w:styleId="a9">
    <w:name w:val="Document Map"/>
    <w:basedOn w:val="a0"/>
    <w:pPr>
      <w:shd w:val="clear" w:color="auto" w:fill="000080"/>
    </w:pPr>
    <w:rPr>
      <w:rFonts w:ascii="Tahoma" w:hAnsi="Tahoma"/>
    </w:rPr>
  </w:style>
  <w:style w:type="paragraph" w:styleId="aa">
    <w:name w:val="Salutation"/>
    <w:basedOn w:val="a0"/>
    <w:next w:val="a0"/>
  </w:style>
  <w:style w:type="paragraph" w:styleId="ab">
    <w:name w:val="envelope address"/>
    <w:basedOn w:val="a0"/>
    <w:pPr>
      <w:framePr w:w="7920" w:hSpace="141" w:wrap="auto" w:vAnchor="page" w:hAnchor="text" w:xAlign="center" w:yAlign="bottom"/>
      <w:ind w:left="2880"/>
    </w:pPr>
    <w:rPr>
      <w:rFonts w:ascii="Arial" w:hAnsi="Arial"/>
    </w:rPr>
  </w:style>
  <w:style w:type="paragraph" w:styleId="ac">
    <w:name w:val="Closing"/>
    <w:basedOn w:val="a0"/>
    <w:pPr>
      <w:ind w:left="4252"/>
    </w:pPr>
  </w:style>
  <w:style w:type="paragraph" w:styleId="ad">
    <w:name w:val="envelope return"/>
    <w:basedOn w:val="a0"/>
    <w:rPr>
      <w:rFonts w:ascii="Arial" w:hAnsi="Arial"/>
      <w:sz w:val="20"/>
    </w:rPr>
  </w:style>
  <w:style w:type="paragraph" w:styleId="ae">
    <w:name w:val="Message Header"/>
    <w:basedOn w:val="a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af">
    <w:name w:val="Block Text"/>
    <w:basedOn w:val="a0"/>
    <w:pPr>
      <w:spacing w:after="120"/>
      <w:ind w:left="1440" w:right="1440"/>
    </w:pPr>
  </w:style>
  <w:style w:type="paragraph" w:styleId="af0">
    <w:name w:val="table of authorities"/>
    <w:basedOn w:val="a0"/>
    <w:next w:val="a0"/>
    <w:pPr>
      <w:ind w:left="240" w:hanging="240"/>
    </w:pPr>
  </w:style>
  <w:style w:type="paragraph" w:styleId="af1">
    <w:name w:val="Date"/>
    <w:basedOn w:val="a0"/>
    <w:next w:val="a0"/>
  </w:style>
  <w:style w:type="paragraph" w:styleId="af2">
    <w:name w:val="endnote text"/>
    <w:basedOn w:val="a0"/>
    <w:rPr>
      <w:sz w:val="20"/>
    </w:rPr>
  </w:style>
  <w:style w:type="paragraph" w:styleId="af3">
    <w:name w:val="Signature"/>
    <w:basedOn w:val="a0"/>
    <w:pPr>
      <w:ind w:left="4252"/>
    </w:pPr>
  </w:style>
  <w:style w:type="paragraph" w:styleId="10">
    <w:name w:val="index 1"/>
    <w:basedOn w:val="a0"/>
    <w:next w:val="a0"/>
    <w:pPr>
      <w:ind w:left="240" w:hanging="240"/>
    </w:pPr>
  </w:style>
  <w:style w:type="paragraph" w:styleId="21">
    <w:name w:val="index 2"/>
    <w:basedOn w:val="a0"/>
    <w:next w:val="a0"/>
    <w:pPr>
      <w:ind w:left="480" w:hanging="240"/>
    </w:pPr>
  </w:style>
  <w:style w:type="paragraph" w:styleId="30">
    <w:name w:val="index 3"/>
    <w:basedOn w:val="a0"/>
    <w:next w:val="a0"/>
    <w:pPr>
      <w:ind w:left="720" w:hanging="240"/>
    </w:pPr>
  </w:style>
  <w:style w:type="paragraph" w:styleId="40">
    <w:name w:val="index 4"/>
    <w:basedOn w:val="a0"/>
    <w:next w:val="a0"/>
    <w:pPr>
      <w:ind w:left="960" w:hanging="240"/>
    </w:pPr>
  </w:style>
  <w:style w:type="paragraph" w:styleId="50">
    <w:name w:val="index 5"/>
    <w:basedOn w:val="a0"/>
    <w:next w:val="a0"/>
    <w:pPr>
      <w:ind w:left="1200" w:hanging="240"/>
    </w:pPr>
  </w:style>
  <w:style w:type="paragraph" w:styleId="60">
    <w:name w:val="index 6"/>
    <w:basedOn w:val="a0"/>
    <w:next w:val="a0"/>
    <w:pPr>
      <w:ind w:left="1440" w:hanging="240"/>
    </w:pPr>
  </w:style>
  <w:style w:type="paragraph" w:styleId="70">
    <w:name w:val="index 7"/>
    <w:basedOn w:val="a0"/>
    <w:next w:val="a0"/>
    <w:pPr>
      <w:ind w:left="1680" w:hanging="240"/>
    </w:pPr>
  </w:style>
  <w:style w:type="paragraph" w:styleId="80">
    <w:name w:val="index 8"/>
    <w:basedOn w:val="a0"/>
    <w:next w:val="a0"/>
    <w:pPr>
      <w:ind w:left="1920" w:hanging="240"/>
    </w:pPr>
  </w:style>
  <w:style w:type="paragraph" w:styleId="90">
    <w:name w:val="index 9"/>
    <w:basedOn w:val="a0"/>
    <w:next w:val="a0"/>
    <w:pPr>
      <w:ind w:left="2160" w:hanging="240"/>
    </w:pPr>
  </w:style>
  <w:style w:type="paragraph" w:styleId="af4">
    <w:name w:val="index heading"/>
    <w:basedOn w:val="a0"/>
    <w:next w:val="10"/>
    <w:rPr>
      <w:rFonts w:ascii="Arial" w:hAnsi="Arial"/>
      <w:b/>
    </w:rPr>
  </w:style>
  <w:style w:type="paragraph" w:styleId="TOC1">
    <w:name w:val="toc 1"/>
    <w:basedOn w:val="a0"/>
    <w:next w:val="a0"/>
  </w:style>
  <w:style w:type="paragraph" w:styleId="TOC2">
    <w:name w:val="toc 2"/>
    <w:basedOn w:val="a0"/>
    <w:next w:val="a0"/>
    <w:pPr>
      <w:ind w:left="240"/>
    </w:pPr>
  </w:style>
  <w:style w:type="paragraph" w:styleId="TOC3">
    <w:name w:val="toc 3"/>
    <w:basedOn w:val="a0"/>
    <w:next w:val="a0"/>
    <w:pPr>
      <w:ind w:left="480"/>
    </w:pPr>
  </w:style>
  <w:style w:type="paragraph" w:styleId="TOC4">
    <w:name w:val="toc 4"/>
    <w:basedOn w:val="a0"/>
    <w:next w:val="a0"/>
    <w:pPr>
      <w:ind w:left="720"/>
    </w:pPr>
  </w:style>
  <w:style w:type="paragraph" w:styleId="TOC5">
    <w:name w:val="toc 5"/>
    <w:basedOn w:val="a0"/>
    <w:next w:val="a0"/>
    <w:pPr>
      <w:ind w:left="960"/>
    </w:pPr>
  </w:style>
  <w:style w:type="paragraph" w:styleId="TOC6">
    <w:name w:val="toc 6"/>
    <w:basedOn w:val="a0"/>
    <w:next w:val="a0"/>
    <w:pPr>
      <w:ind w:left="1200"/>
    </w:pPr>
  </w:style>
  <w:style w:type="paragraph" w:styleId="TOC7">
    <w:name w:val="toc 7"/>
    <w:basedOn w:val="a0"/>
    <w:next w:val="a0"/>
    <w:pPr>
      <w:ind w:left="1440"/>
    </w:pPr>
  </w:style>
  <w:style w:type="paragraph" w:styleId="TOC8">
    <w:name w:val="toc 8"/>
    <w:basedOn w:val="a0"/>
    <w:next w:val="a0"/>
    <w:pPr>
      <w:ind w:left="1680"/>
    </w:pPr>
  </w:style>
  <w:style w:type="paragraph" w:styleId="TOC9">
    <w:name w:val="toc 9"/>
    <w:basedOn w:val="a0"/>
    <w:next w:val="a0"/>
    <w:pPr>
      <w:ind w:left="1920"/>
    </w:pPr>
  </w:style>
  <w:style w:type="paragraph" w:styleId="af5">
    <w:name w:val="toa heading"/>
    <w:basedOn w:val="a0"/>
    <w:next w:val="a0"/>
    <w:pPr>
      <w:spacing w:before="120"/>
    </w:pPr>
    <w:rPr>
      <w:rFonts w:ascii="Arial" w:hAnsi="Arial"/>
      <w:b/>
    </w:rPr>
  </w:style>
  <w:style w:type="paragraph" w:styleId="af6">
    <w:name w:val="List"/>
    <w:basedOn w:val="a0"/>
    <w:pPr>
      <w:ind w:left="283" w:hanging="283"/>
    </w:pPr>
  </w:style>
  <w:style w:type="paragraph" w:styleId="22">
    <w:name w:val="List 2"/>
    <w:basedOn w:val="a0"/>
    <w:pPr>
      <w:ind w:left="566" w:hanging="283"/>
    </w:pPr>
  </w:style>
  <w:style w:type="paragraph" w:styleId="31">
    <w:name w:val="List 3"/>
    <w:basedOn w:val="a0"/>
    <w:pPr>
      <w:ind w:left="849" w:hanging="283"/>
    </w:pPr>
  </w:style>
  <w:style w:type="paragraph" w:styleId="41">
    <w:name w:val="List 4"/>
    <w:basedOn w:val="a0"/>
    <w:pPr>
      <w:ind w:left="1132" w:hanging="283"/>
    </w:pPr>
  </w:style>
  <w:style w:type="paragraph" w:styleId="51">
    <w:name w:val="List 5"/>
    <w:basedOn w:val="a0"/>
    <w:pPr>
      <w:ind w:left="1415" w:hanging="283"/>
    </w:pPr>
  </w:style>
  <w:style w:type="paragraph" w:styleId="af7">
    <w:name w:val="table of figures"/>
    <w:basedOn w:val="a0"/>
    <w:next w:val="a0"/>
    <w:pPr>
      <w:ind w:left="480" w:hanging="480"/>
    </w:pPr>
  </w:style>
  <w:style w:type="paragraph" w:styleId="a">
    <w:name w:val="List Bullet"/>
    <w:basedOn w:val="a0"/>
    <w:pPr>
      <w:numPr>
        <w:numId w:val="1"/>
      </w:numPr>
      <w:ind w:left="-1" w:hanging="1"/>
    </w:pPr>
  </w:style>
  <w:style w:type="paragraph" w:styleId="2">
    <w:name w:val="List Bullet 2"/>
    <w:basedOn w:val="a0"/>
    <w:pPr>
      <w:numPr>
        <w:numId w:val="3"/>
      </w:numPr>
      <w:ind w:left="-1" w:hanging="1"/>
    </w:pPr>
  </w:style>
  <w:style w:type="paragraph" w:styleId="32">
    <w:name w:val="List Bullet 3"/>
    <w:basedOn w:val="a0"/>
    <w:pPr>
      <w:tabs>
        <w:tab w:val="num" w:pos="720"/>
      </w:tabs>
    </w:pPr>
  </w:style>
  <w:style w:type="paragraph" w:styleId="42">
    <w:name w:val="List Bullet 4"/>
    <w:basedOn w:val="a0"/>
    <w:pPr>
      <w:tabs>
        <w:tab w:val="num" w:pos="720"/>
      </w:tabs>
    </w:pPr>
  </w:style>
  <w:style w:type="paragraph" w:styleId="52">
    <w:name w:val="List Bullet 5"/>
    <w:basedOn w:val="a0"/>
    <w:pPr>
      <w:tabs>
        <w:tab w:val="num" w:pos="720"/>
      </w:tabs>
    </w:pPr>
  </w:style>
  <w:style w:type="paragraph" w:styleId="af8">
    <w:name w:val="List Number"/>
    <w:basedOn w:val="a0"/>
    <w:pPr>
      <w:tabs>
        <w:tab w:val="num" w:pos="720"/>
      </w:tabs>
    </w:pPr>
  </w:style>
  <w:style w:type="paragraph" w:styleId="23">
    <w:name w:val="List Number 2"/>
    <w:basedOn w:val="a0"/>
    <w:pPr>
      <w:tabs>
        <w:tab w:val="num" w:pos="720"/>
      </w:tabs>
    </w:pPr>
  </w:style>
  <w:style w:type="paragraph" w:styleId="33">
    <w:name w:val="List Number 3"/>
    <w:basedOn w:val="a0"/>
    <w:pPr>
      <w:tabs>
        <w:tab w:val="num" w:pos="720"/>
      </w:tabs>
    </w:pPr>
  </w:style>
  <w:style w:type="paragraph" w:styleId="43">
    <w:name w:val="List Number 4"/>
    <w:basedOn w:val="a0"/>
    <w:pPr>
      <w:tabs>
        <w:tab w:val="num" w:pos="720"/>
      </w:tabs>
    </w:pPr>
  </w:style>
  <w:style w:type="paragraph" w:styleId="53">
    <w:name w:val="List Number 5"/>
    <w:basedOn w:val="a0"/>
    <w:pPr>
      <w:tabs>
        <w:tab w:val="num" w:pos="720"/>
      </w:tabs>
    </w:pPr>
  </w:style>
  <w:style w:type="paragraph" w:styleId="af9">
    <w:name w:val="List Continue"/>
    <w:basedOn w:val="a0"/>
    <w:pPr>
      <w:spacing w:after="120"/>
      <w:ind w:left="283"/>
    </w:pPr>
  </w:style>
  <w:style w:type="paragraph" w:styleId="24">
    <w:name w:val="List Continue 2"/>
    <w:basedOn w:val="a0"/>
    <w:pPr>
      <w:spacing w:after="120"/>
      <w:ind w:left="566"/>
    </w:pPr>
  </w:style>
  <w:style w:type="paragraph" w:styleId="34">
    <w:name w:val="List Continue 3"/>
    <w:basedOn w:val="a0"/>
    <w:pPr>
      <w:spacing w:after="120"/>
      <w:ind w:left="849"/>
    </w:pPr>
  </w:style>
  <w:style w:type="paragraph" w:styleId="44">
    <w:name w:val="List Continue 4"/>
    <w:basedOn w:val="a0"/>
    <w:pPr>
      <w:spacing w:after="120"/>
      <w:ind w:left="1132"/>
    </w:pPr>
  </w:style>
  <w:style w:type="paragraph" w:styleId="54">
    <w:name w:val="List Continue 5"/>
    <w:basedOn w:val="a0"/>
    <w:pPr>
      <w:spacing w:after="120"/>
      <w:ind w:left="1415"/>
    </w:pPr>
  </w:style>
  <w:style w:type="paragraph" w:styleId="afa">
    <w:name w:val="macro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Courier New" w:hAnsi="Courier New"/>
      <w:position w:val="-1"/>
    </w:rPr>
  </w:style>
  <w:style w:type="paragraph" w:styleId="afb">
    <w:name w:val="Note Heading"/>
    <w:basedOn w:val="a0"/>
    <w:next w:val="a0"/>
  </w:style>
  <w:style w:type="paragraph" w:styleId="afc">
    <w:name w:val="Plain Text"/>
    <w:basedOn w:val="a0"/>
    <w:rPr>
      <w:rFonts w:ascii="Courier New" w:hAnsi="Courier New"/>
      <w:sz w:val="20"/>
    </w:rPr>
  </w:style>
  <w:style w:type="paragraph" w:styleId="afd">
    <w:name w:val="Body Text"/>
    <w:basedOn w:val="a0"/>
    <w:pPr>
      <w:spacing w:after="120"/>
    </w:pPr>
  </w:style>
  <w:style w:type="paragraph" w:styleId="25">
    <w:name w:val="Body Text 2"/>
    <w:basedOn w:val="a0"/>
    <w:pPr>
      <w:spacing w:after="120" w:line="480" w:lineRule="auto"/>
    </w:pPr>
  </w:style>
  <w:style w:type="paragraph" w:styleId="35">
    <w:name w:val="Body Text 3"/>
    <w:basedOn w:val="a0"/>
    <w:pPr>
      <w:spacing w:after="120"/>
    </w:pPr>
    <w:rPr>
      <w:sz w:val="16"/>
    </w:rPr>
  </w:style>
  <w:style w:type="paragraph" w:styleId="afe">
    <w:name w:val="Body Text First Indent"/>
    <w:basedOn w:val="afd"/>
    <w:pPr>
      <w:ind w:firstLine="210"/>
    </w:pPr>
  </w:style>
  <w:style w:type="paragraph" w:styleId="aff">
    <w:name w:val="Body Text Indent"/>
    <w:basedOn w:val="a0"/>
    <w:pPr>
      <w:spacing w:after="120"/>
      <w:ind w:left="283"/>
    </w:pPr>
  </w:style>
  <w:style w:type="paragraph" w:styleId="26">
    <w:name w:val="Body Text First Indent 2"/>
    <w:basedOn w:val="aff"/>
    <w:pPr>
      <w:ind w:firstLine="210"/>
    </w:pPr>
  </w:style>
  <w:style w:type="paragraph" w:styleId="27">
    <w:name w:val="Body Text Indent 2"/>
    <w:basedOn w:val="a0"/>
    <w:pPr>
      <w:spacing w:after="120" w:line="480" w:lineRule="auto"/>
      <w:ind w:left="283"/>
    </w:pPr>
  </w:style>
  <w:style w:type="paragraph" w:styleId="36">
    <w:name w:val="Body Text Indent 3"/>
    <w:basedOn w:val="a0"/>
    <w:pPr>
      <w:spacing w:after="120"/>
      <w:ind w:left="283"/>
    </w:pPr>
    <w:rPr>
      <w:sz w:val="16"/>
    </w:rPr>
  </w:style>
  <w:style w:type="paragraph" w:styleId="aff0">
    <w:name w:val="Normal Indent"/>
    <w:basedOn w:val="a0"/>
    <w:pPr>
      <w:ind w:left="708"/>
    </w:pPr>
  </w:style>
  <w:style w:type="paragraph" w:styleId="aff1">
    <w:name w:val="Subtitle"/>
    <w:basedOn w:val="a0"/>
    <w:next w:val="a0"/>
    <w:uiPriority w:val="11"/>
    <w:qFormat/>
    <w:pPr>
      <w:spacing w:after="60"/>
      <w:jc w:val="center"/>
    </w:pPr>
    <w:rPr>
      <w:rFonts w:ascii="Arial" w:eastAsia="Arial" w:hAnsi="Arial" w:cs="Arial"/>
    </w:rPr>
  </w:style>
  <w:style w:type="paragraph" w:styleId="aff2">
    <w:name w:val="annotation text"/>
    <w:basedOn w:val="a0"/>
    <w:rPr>
      <w:sz w:val="20"/>
    </w:rPr>
  </w:style>
  <w:style w:type="paragraph" w:styleId="aff3">
    <w:name w:val="footnote text"/>
    <w:basedOn w:val="a0"/>
    <w:rPr>
      <w:sz w:val="20"/>
    </w:rPr>
  </w:style>
  <w:style w:type="paragraph" w:customStyle="1" w:styleId="caption11ptitalic">
    <w:name w:val="caption 11pt italic"/>
    <w:basedOn w:val="Normal11ptjustified"/>
    <w:pPr>
      <w:spacing w:before="120" w:after="120"/>
    </w:pPr>
    <w:rPr>
      <w:i/>
    </w:rPr>
  </w:style>
  <w:style w:type="paragraph" w:customStyle="1" w:styleId="Address">
    <w:name w:val="Address"/>
    <w:basedOn w:val="20"/>
    <w:pPr>
      <w:framePr w:wrap="notBeside"/>
    </w:pPr>
  </w:style>
  <w:style w:type="paragraph" w:customStyle="1" w:styleId="Normal11ptjustified">
    <w:name w:val="Normal 11pt justified"/>
    <w:basedOn w:val="a0"/>
    <w:pPr>
      <w:tabs>
        <w:tab w:val="left" w:pos="504"/>
      </w:tabs>
      <w:jc w:val="both"/>
    </w:pPr>
    <w:rPr>
      <w:sz w:val="22"/>
      <w:lang w:val="en-GB"/>
    </w:rPr>
  </w:style>
  <w:style w:type="paragraph" w:customStyle="1" w:styleId="Normal11ptcentered">
    <w:name w:val="Normal 11pt centered"/>
    <w:basedOn w:val="Normal11ptjustified"/>
    <w:pPr>
      <w:jc w:val="center"/>
    </w:pPr>
  </w:style>
  <w:style w:type="paragraph" w:customStyle="1" w:styleId="SectionHeading">
    <w:name w:val="Section Heading"/>
    <w:basedOn w:val="a0"/>
    <w:pPr>
      <w:tabs>
        <w:tab w:val="left" w:pos="504"/>
      </w:tabs>
      <w:spacing w:before="240" w:after="240"/>
    </w:pPr>
    <w:rPr>
      <w:b/>
      <w:sz w:val="22"/>
      <w:lang w:val="en-GB"/>
    </w:rPr>
  </w:style>
  <w:style w:type="character" w:styleId="aff4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aff5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aff6">
    <w:name w:val="Balloon Text"/>
    <w:basedOn w:val="a0"/>
    <w:rPr>
      <w:sz w:val="18"/>
      <w:szCs w:val="18"/>
    </w:rPr>
  </w:style>
  <w:style w:type="character" w:customStyle="1" w:styleId="BalloonTextChar">
    <w:name w:val="Balloon Text Char"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styleId="aff7">
    <w:name w:val="Unresolved Mention"/>
    <w:basedOn w:val="a1"/>
    <w:uiPriority w:val="99"/>
    <w:semiHidden/>
    <w:unhideWhenUsed/>
    <w:rsid w:val="00523C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uIEgOB7WpGwYjfrfsHtFrYiwC8A==">AMUW2mVAH0c6uccK2WcYkRZAVfoI9nbhu0G83YsdzZGvrnfRa8+V3f5OznoGWH46bMYPO8Dmy+rm87FOP1cGwl1bR41yOzuOdVapt6MxqAS2b9gqq/rbocpv3lOY0O27w+aFnIGX8N+DbR+p5fIA9UcB/Zmw08JWgJ4YUGJAx5TBgDMEsVBshx8GIHEKTLjueYW1dk42hWS8UqjHzSk+HBRl7GMqCF1no774K3TrvtEpdGebuxkDFmiwvZ8WhoLQAh6CQaA1kKqDI4eDnMTWd+iEd7S8HDihhKBAk8Y9SCRFFj4b6IUksIRUKBeMEb20EzvLBPEBhwdH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56778A2-A68E-4802-846A-9756A22AD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929</TotalTime>
  <Pages>3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Marjolein van Kraanen</dc:creator>
  <cp:lastModifiedBy>sunyan</cp:lastModifiedBy>
  <cp:revision>11</cp:revision>
  <cp:lastPrinted>2024-07-22T07:20:00Z</cp:lastPrinted>
  <dcterms:created xsi:type="dcterms:W3CDTF">2025-11-20T11:22:00Z</dcterms:created>
  <dcterms:modified xsi:type="dcterms:W3CDTF">2025-12-09T07:23:00Z</dcterms:modified>
</cp:coreProperties>
</file>