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A3EE2" w14:textId="6804575F" w:rsidR="00B022E6" w:rsidRDefault="0079269C" w:rsidP="00A900BD">
      <w:pPr>
        <w:tabs>
          <w:tab w:val="left" w:pos="504"/>
        </w:tabs>
        <w:ind w:left="0" w:hanging="2"/>
        <w:jc w:val="center"/>
        <w:rPr>
          <w:rFonts w:hint="eastAsia"/>
          <w:b/>
          <w:sz w:val="22"/>
          <w:szCs w:val="22"/>
          <w:lang w:eastAsia="zh-CN"/>
        </w:rPr>
      </w:pPr>
      <w:r w:rsidRPr="0079269C">
        <w:rPr>
          <w:b/>
          <w:sz w:val="22"/>
          <w:szCs w:val="22"/>
        </w:rPr>
        <w:t>The Effect of CO</w:t>
      </w:r>
      <w:r w:rsidRPr="0079269C">
        <w:rPr>
          <w:b/>
          <w:sz w:val="22"/>
          <w:szCs w:val="22"/>
          <w:vertAlign w:val="subscript"/>
        </w:rPr>
        <w:t>2</w:t>
      </w:r>
      <w:r w:rsidRPr="0079269C">
        <w:rPr>
          <w:b/>
          <w:sz w:val="22"/>
          <w:szCs w:val="22"/>
        </w:rPr>
        <w:t xml:space="preserve">-Saline Cyclic Injection on Permeability </w:t>
      </w:r>
      <w:r w:rsidR="00BD5D76">
        <w:rPr>
          <w:rFonts w:hint="eastAsia"/>
          <w:b/>
          <w:sz w:val="22"/>
          <w:szCs w:val="22"/>
          <w:lang w:eastAsia="zh-CN"/>
        </w:rPr>
        <w:t xml:space="preserve">Change </w:t>
      </w:r>
      <w:r w:rsidRPr="0079269C">
        <w:rPr>
          <w:b/>
          <w:sz w:val="22"/>
          <w:szCs w:val="22"/>
        </w:rPr>
        <w:t xml:space="preserve">of </w:t>
      </w:r>
      <w:r w:rsidR="0007642A">
        <w:rPr>
          <w:rFonts w:hint="eastAsia"/>
          <w:b/>
          <w:sz w:val="22"/>
          <w:szCs w:val="22"/>
          <w:lang w:eastAsia="zh-CN"/>
        </w:rPr>
        <w:t>Sandstone</w:t>
      </w:r>
    </w:p>
    <w:p w14:paraId="295B4B21" w14:textId="77777777" w:rsidR="00B022E6" w:rsidRDefault="00B022E6">
      <w:pPr>
        <w:pBdr>
          <w:top w:val="nil"/>
          <w:left w:val="nil"/>
          <w:bottom w:val="nil"/>
          <w:right w:val="nil"/>
          <w:between w:val="nil"/>
        </w:pBdr>
        <w:tabs>
          <w:tab w:val="left" w:pos="504"/>
        </w:tabs>
        <w:spacing w:line="240" w:lineRule="auto"/>
        <w:ind w:left="0" w:hanging="2"/>
        <w:rPr>
          <w:b/>
          <w:sz w:val="22"/>
          <w:szCs w:val="22"/>
        </w:rPr>
      </w:pPr>
    </w:p>
    <w:p w14:paraId="2E5E0176" w14:textId="582050F6" w:rsidR="00B022E6" w:rsidRPr="0018523B" w:rsidRDefault="00000000" w:rsidP="0018523B">
      <w:pPr>
        <w:pStyle w:val="aff8"/>
        <w:numPr>
          <w:ilvl w:val="0"/>
          <w:numId w:val="6"/>
        </w:numPr>
        <w:pBdr>
          <w:top w:val="nil"/>
          <w:left w:val="nil"/>
          <w:bottom w:val="nil"/>
          <w:right w:val="nil"/>
          <w:between w:val="nil"/>
        </w:pBdr>
        <w:tabs>
          <w:tab w:val="left" w:pos="504"/>
        </w:tabs>
        <w:spacing w:line="240" w:lineRule="auto"/>
        <w:ind w:leftChars="0" w:firstLineChars="0"/>
        <w:rPr>
          <w:b/>
          <w:color w:val="000000"/>
          <w:sz w:val="22"/>
          <w:szCs w:val="22"/>
        </w:rPr>
      </w:pPr>
      <w:r w:rsidRPr="0018523B">
        <w:rPr>
          <w:b/>
          <w:color w:val="000000"/>
          <w:sz w:val="22"/>
          <w:szCs w:val="22"/>
        </w:rPr>
        <w:t>Introduction</w:t>
      </w:r>
      <w:bookmarkStart w:id="0" w:name="bookmark=id.gjdgxs" w:colFirst="0" w:colLast="0"/>
      <w:bookmarkEnd w:id="0"/>
    </w:p>
    <w:p w14:paraId="676AE8DA" w14:textId="77777777" w:rsidR="00B022E6" w:rsidRDefault="00B022E6" w:rsidP="00693E59">
      <w:pPr>
        <w:pBdr>
          <w:top w:val="nil"/>
          <w:left w:val="nil"/>
          <w:bottom w:val="nil"/>
          <w:right w:val="nil"/>
          <w:between w:val="nil"/>
        </w:pBdr>
        <w:tabs>
          <w:tab w:val="left" w:pos="504"/>
        </w:tabs>
        <w:spacing w:line="240" w:lineRule="auto"/>
        <w:ind w:left="0" w:hanging="2"/>
        <w:jc w:val="both"/>
        <w:rPr>
          <w:color w:val="000000"/>
          <w:sz w:val="22"/>
          <w:szCs w:val="22"/>
        </w:rPr>
      </w:pPr>
    </w:p>
    <w:p w14:paraId="2E099CD5" w14:textId="6960AEE8" w:rsidR="0079269C" w:rsidRPr="000A7972" w:rsidRDefault="003E6E5E" w:rsidP="003E6E5E">
      <w:pPr>
        <w:pBdr>
          <w:top w:val="nil"/>
          <w:left w:val="nil"/>
          <w:bottom w:val="nil"/>
          <w:right w:val="nil"/>
          <w:between w:val="nil"/>
        </w:pBdr>
        <w:tabs>
          <w:tab w:val="left" w:pos="504"/>
        </w:tabs>
        <w:spacing w:line="240" w:lineRule="auto"/>
        <w:ind w:left="0" w:hanging="2"/>
        <w:jc w:val="both"/>
        <w:rPr>
          <w:color w:val="000000"/>
          <w:sz w:val="22"/>
          <w:szCs w:val="22"/>
          <w:lang w:eastAsia="zh-CN"/>
        </w:rPr>
      </w:pPr>
      <w:bookmarkStart w:id="1" w:name="bookmark=id.3znysh7" w:colFirst="0" w:colLast="0"/>
      <w:bookmarkEnd w:id="1"/>
      <w:r w:rsidRPr="000A7972">
        <w:rPr>
          <w:color w:val="000000"/>
          <w:sz w:val="22"/>
          <w:szCs w:val="22"/>
          <w:lang w:eastAsia="zh-CN"/>
        </w:rPr>
        <w:t>Geological carbon storage in deep saline sandstone formations is considered a key pathway for long-term CO₂ emission mitigation due to their large storage capacity and favorable reservoir properties. However, CO₂ injection into high-salinity sandstones introduces coupled hydro–mechanical–chemical processes that may significantly influence injectivity and long-term reservoir performance</w:t>
      </w:r>
      <w:r w:rsidR="005A075F" w:rsidRPr="000A7972">
        <w:rPr>
          <w:rFonts w:hint="eastAsia"/>
          <w:color w:val="000000"/>
          <w:sz w:val="22"/>
          <w:szCs w:val="22"/>
          <w:lang w:eastAsia="zh-CN"/>
        </w:rPr>
        <w:t xml:space="preserve"> (Nooraiepour et al., 2024)</w:t>
      </w:r>
      <w:r w:rsidRPr="000A7972">
        <w:rPr>
          <w:color w:val="000000"/>
          <w:sz w:val="22"/>
          <w:szCs w:val="22"/>
          <w:lang w:eastAsia="zh-CN"/>
        </w:rPr>
        <w:t>.</w:t>
      </w:r>
      <w:r w:rsidRPr="000A7972">
        <w:rPr>
          <w:rFonts w:hint="eastAsia"/>
          <w:color w:val="000000"/>
          <w:sz w:val="22"/>
          <w:szCs w:val="22"/>
          <w:lang w:eastAsia="zh-CN"/>
        </w:rPr>
        <w:t xml:space="preserve"> </w:t>
      </w:r>
      <w:r w:rsidRPr="000A7972">
        <w:rPr>
          <w:color w:val="000000"/>
          <w:sz w:val="22"/>
          <w:szCs w:val="22"/>
          <w:lang w:eastAsia="zh-CN"/>
        </w:rPr>
        <w:t>Dissolution of CO₂ in brine forms carbonic acid</w:t>
      </w:r>
      <w:r w:rsidR="000838A8" w:rsidRPr="000A7972">
        <w:rPr>
          <w:rFonts w:hint="eastAsia"/>
          <w:color w:val="000000"/>
          <w:sz w:val="22"/>
          <w:szCs w:val="22"/>
          <w:lang w:eastAsia="zh-CN"/>
        </w:rPr>
        <w:t xml:space="preserve"> (</w:t>
      </w:r>
      <w:r w:rsidR="000A7972" w:rsidRPr="000A7972">
        <w:rPr>
          <w:rFonts w:hint="eastAsia"/>
          <w:color w:val="000000"/>
          <w:sz w:val="22"/>
          <w:szCs w:val="22"/>
          <w:lang w:eastAsia="zh-CN"/>
        </w:rPr>
        <w:t>K</w:t>
      </w:r>
      <w:r w:rsidR="000838A8" w:rsidRPr="000A7972">
        <w:rPr>
          <w:rFonts w:hint="eastAsia"/>
          <w:color w:val="000000"/>
          <w:sz w:val="22"/>
          <w:szCs w:val="22"/>
          <w:lang w:eastAsia="zh-CN"/>
        </w:rPr>
        <w:t>ou et al., 20</w:t>
      </w:r>
      <w:r w:rsidR="000A7972" w:rsidRPr="000A7972">
        <w:rPr>
          <w:rFonts w:hint="eastAsia"/>
          <w:color w:val="000000"/>
          <w:sz w:val="22"/>
          <w:szCs w:val="22"/>
          <w:lang w:eastAsia="zh-CN"/>
        </w:rPr>
        <w:t>22</w:t>
      </w:r>
      <w:r w:rsidR="000838A8" w:rsidRPr="000A7972">
        <w:rPr>
          <w:rFonts w:hint="eastAsia"/>
          <w:color w:val="000000"/>
          <w:sz w:val="22"/>
          <w:szCs w:val="22"/>
          <w:lang w:eastAsia="zh-CN"/>
        </w:rPr>
        <w:t>)</w:t>
      </w:r>
      <w:r w:rsidRPr="000A7972">
        <w:rPr>
          <w:color w:val="000000"/>
          <w:sz w:val="22"/>
          <w:szCs w:val="22"/>
          <w:lang w:eastAsia="zh-CN"/>
        </w:rPr>
        <w:t xml:space="preserve">, which can trigger mineral dissolution and secondary precipitation, altering pore geometry and permeability. In addition, high NaCl concentrations may promote salt precipitation during two-phase flow and brine dry-out, leading to pore-throat clogging and injectivity </w:t>
      </w:r>
      <w:r w:rsidRPr="000A7972">
        <w:rPr>
          <w:rFonts w:hint="eastAsia"/>
          <w:color w:val="000000"/>
          <w:sz w:val="22"/>
          <w:szCs w:val="22"/>
          <w:lang w:eastAsia="zh-CN"/>
        </w:rPr>
        <w:t>impairment</w:t>
      </w:r>
      <w:r w:rsidR="005A075F" w:rsidRPr="000A7972">
        <w:rPr>
          <w:rFonts w:hint="eastAsia"/>
          <w:color w:val="000000"/>
          <w:sz w:val="22"/>
          <w:szCs w:val="22"/>
          <w:lang w:eastAsia="zh-CN"/>
        </w:rPr>
        <w:t xml:space="preserve"> (Cui et al., 2023)</w:t>
      </w:r>
      <w:r w:rsidRPr="000A7972">
        <w:rPr>
          <w:color w:val="000000"/>
          <w:sz w:val="22"/>
          <w:szCs w:val="22"/>
          <w:lang w:eastAsia="zh-CN"/>
        </w:rPr>
        <w:t>. These processes pose practical engineering challenges in CCS operations, particularly near the injection wellbore where permeability impairment and pressure buildup can limit storage efficiency.</w:t>
      </w:r>
      <w:r w:rsidRPr="000A7972">
        <w:rPr>
          <w:rFonts w:hint="eastAsia"/>
          <w:color w:val="000000"/>
          <w:sz w:val="22"/>
          <w:szCs w:val="22"/>
          <w:lang w:eastAsia="zh-CN"/>
        </w:rPr>
        <w:t xml:space="preserve"> </w:t>
      </w:r>
      <w:r w:rsidRPr="000A7972">
        <w:rPr>
          <w:color w:val="000000"/>
          <w:sz w:val="22"/>
          <w:szCs w:val="22"/>
          <w:lang w:eastAsia="zh-CN"/>
        </w:rPr>
        <w:t xml:space="preserve">Although previous studies have examined stress sensitivity, mineral reactions, or salt precipitation separately, the coupled effects of varying NaCl concentration and cyclic CO₂–brine injection on sandstone matrix permeability under </w:t>
      </w:r>
      <w:r w:rsidRPr="000A7972">
        <w:rPr>
          <w:rFonts w:hint="eastAsia"/>
          <w:color w:val="000000"/>
          <w:sz w:val="22"/>
          <w:szCs w:val="22"/>
          <w:lang w:eastAsia="zh-CN"/>
        </w:rPr>
        <w:t>reservoir</w:t>
      </w:r>
      <w:r w:rsidRPr="000A7972">
        <w:rPr>
          <w:color w:val="000000"/>
          <w:sz w:val="22"/>
          <w:szCs w:val="22"/>
          <w:lang w:eastAsia="zh-CN"/>
        </w:rPr>
        <w:t xml:space="preserve"> stress conditions remain insufficiently constrained. To address this gap, this study conducts stress-dependent cyclic core-flooding experiments with controlled NaCl concentrations to quantify permeability evolution and distinguish mechanical compaction, chemical alteration, and precipitation-driven effects.</w:t>
      </w:r>
    </w:p>
    <w:p w14:paraId="172763BA" w14:textId="77777777" w:rsidR="003E6E5E" w:rsidRPr="000A7972" w:rsidRDefault="003E6E5E" w:rsidP="003E6E5E">
      <w:pPr>
        <w:pBdr>
          <w:top w:val="nil"/>
          <w:left w:val="nil"/>
          <w:bottom w:val="nil"/>
          <w:right w:val="nil"/>
          <w:between w:val="nil"/>
        </w:pBdr>
        <w:tabs>
          <w:tab w:val="left" w:pos="504"/>
        </w:tabs>
        <w:spacing w:line="240" w:lineRule="auto"/>
        <w:ind w:left="0" w:hanging="2"/>
        <w:jc w:val="both"/>
        <w:rPr>
          <w:color w:val="000000"/>
          <w:sz w:val="22"/>
          <w:szCs w:val="22"/>
          <w:lang w:eastAsia="zh-CN"/>
        </w:rPr>
      </w:pPr>
    </w:p>
    <w:p w14:paraId="1347B352" w14:textId="26A45913" w:rsidR="0079269C" w:rsidRPr="000A7972" w:rsidRDefault="0079269C" w:rsidP="0018523B">
      <w:pPr>
        <w:pStyle w:val="aff8"/>
        <w:numPr>
          <w:ilvl w:val="0"/>
          <w:numId w:val="6"/>
        </w:numPr>
        <w:pBdr>
          <w:top w:val="nil"/>
          <w:left w:val="nil"/>
          <w:bottom w:val="nil"/>
          <w:right w:val="nil"/>
          <w:between w:val="nil"/>
        </w:pBdr>
        <w:tabs>
          <w:tab w:val="left" w:pos="504"/>
        </w:tabs>
        <w:spacing w:line="240" w:lineRule="auto"/>
        <w:ind w:leftChars="0" w:firstLineChars="0"/>
        <w:jc w:val="both"/>
        <w:rPr>
          <w:b/>
          <w:bCs/>
          <w:color w:val="000000"/>
          <w:sz w:val="22"/>
          <w:szCs w:val="22"/>
          <w:lang w:eastAsia="zh-CN"/>
        </w:rPr>
      </w:pPr>
      <w:r w:rsidRPr="000A7972">
        <w:rPr>
          <w:rFonts w:hint="eastAsia"/>
          <w:b/>
          <w:bCs/>
          <w:color w:val="000000"/>
          <w:sz w:val="22"/>
          <w:szCs w:val="22"/>
          <w:lang w:eastAsia="zh-CN"/>
        </w:rPr>
        <w:t>Purpose of the Study</w:t>
      </w:r>
    </w:p>
    <w:p w14:paraId="131C9D59" w14:textId="77777777" w:rsidR="0079269C" w:rsidRPr="000A7972" w:rsidRDefault="0079269C" w:rsidP="0079269C">
      <w:pPr>
        <w:pBdr>
          <w:top w:val="nil"/>
          <w:left w:val="nil"/>
          <w:bottom w:val="nil"/>
          <w:right w:val="nil"/>
          <w:between w:val="nil"/>
        </w:pBdr>
        <w:tabs>
          <w:tab w:val="left" w:pos="504"/>
        </w:tabs>
        <w:spacing w:line="240" w:lineRule="auto"/>
        <w:ind w:left="0" w:hanging="2"/>
        <w:jc w:val="both"/>
        <w:rPr>
          <w:b/>
          <w:bCs/>
          <w:color w:val="000000"/>
          <w:sz w:val="22"/>
          <w:szCs w:val="22"/>
          <w:lang w:eastAsia="zh-CN"/>
        </w:rPr>
      </w:pPr>
    </w:p>
    <w:p w14:paraId="1DB530F1" w14:textId="7DC01DAA" w:rsidR="00B33804" w:rsidRPr="000A7972" w:rsidRDefault="00672BD9" w:rsidP="0018523B">
      <w:pPr>
        <w:pStyle w:val="aff8"/>
        <w:numPr>
          <w:ilvl w:val="1"/>
          <w:numId w:val="6"/>
        </w:numPr>
        <w:pBdr>
          <w:top w:val="nil"/>
          <w:left w:val="nil"/>
          <w:bottom w:val="nil"/>
          <w:right w:val="nil"/>
          <w:between w:val="nil"/>
        </w:pBdr>
        <w:tabs>
          <w:tab w:val="left" w:pos="504"/>
        </w:tabs>
        <w:spacing w:line="240" w:lineRule="auto"/>
        <w:ind w:leftChars="0" w:firstLineChars="0"/>
        <w:jc w:val="both"/>
        <w:rPr>
          <w:color w:val="000000"/>
          <w:sz w:val="22"/>
          <w:szCs w:val="22"/>
          <w:lang w:eastAsia="zh-CN"/>
        </w:rPr>
      </w:pPr>
      <w:r w:rsidRPr="000A7972">
        <w:rPr>
          <w:rFonts w:hint="eastAsia"/>
          <w:b/>
          <w:bCs/>
          <w:color w:val="000000"/>
          <w:sz w:val="22"/>
          <w:szCs w:val="22"/>
          <w:lang w:eastAsia="zh-CN"/>
        </w:rPr>
        <w:t>Permeability evolution under cyclic CO</w:t>
      </w:r>
      <w:r w:rsidRPr="000A7972">
        <w:rPr>
          <w:rFonts w:hint="eastAsia"/>
          <w:b/>
          <w:bCs/>
          <w:color w:val="000000"/>
          <w:sz w:val="22"/>
          <w:szCs w:val="22"/>
          <w:vertAlign w:val="subscript"/>
          <w:lang w:eastAsia="zh-CN"/>
        </w:rPr>
        <w:t>2</w:t>
      </w:r>
      <w:r w:rsidRPr="000A7972">
        <w:rPr>
          <w:rFonts w:hint="eastAsia"/>
          <w:b/>
          <w:bCs/>
          <w:color w:val="000000"/>
          <w:sz w:val="22"/>
          <w:szCs w:val="22"/>
          <w:lang w:eastAsia="zh-CN"/>
        </w:rPr>
        <w:t>-brine injection</w:t>
      </w:r>
      <w:r w:rsidR="0079269C" w:rsidRPr="000A7972">
        <w:rPr>
          <w:rFonts w:hint="eastAsia"/>
          <w:b/>
          <w:bCs/>
          <w:color w:val="000000"/>
          <w:sz w:val="22"/>
          <w:szCs w:val="22"/>
          <w:lang w:eastAsia="zh-CN"/>
        </w:rPr>
        <w:t>:</w:t>
      </w:r>
      <w:r w:rsidR="0079269C" w:rsidRPr="000A7972">
        <w:rPr>
          <w:rFonts w:hint="eastAsia"/>
        </w:rPr>
        <w:t xml:space="preserve"> </w:t>
      </w:r>
      <w:r w:rsidRPr="000A7972">
        <w:rPr>
          <w:color w:val="000000"/>
          <w:sz w:val="22"/>
          <w:szCs w:val="22"/>
          <w:lang w:eastAsia="zh-CN"/>
        </w:rPr>
        <w:t xml:space="preserve">This study aims to quantify the evolution of </w:t>
      </w:r>
      <w:r w:rsidR="00851D3A" w:rsidRPr="000A7972">
        <w:rPr>
          <w:rFonts w:hint="eastAsia"/>
          <w:color w:val="000000"/>
          <w:sz w:val="22"/>
          <w:szCs w:val="22"/>
          <w:lang w:eastAsia="zh-CN"/>
        </w:rPr>
        <w:t>sandstone</w:t>
      </w:r>
      <w:r w:rsidRPr="000A7972">
        <w:rPr>
          <w:color w:val="000000"/>
          <w:sz w:val="22"/>
          <w:szCs w:val="22"/>
          <w:lang w:eastAsia="zh-CN"/>
        </w:rPr>
        <w:t xml:space="preserve"> permeability during cyclic CO₂–saline injection and to clarify the coupled mechanical and displacement mechanisms governing injectivity. </w:t>
      </w:r>
      <w:r w:rsidR="00851D3A" w:rsidRPr="000A7972">
        <w:rPr>
          <w:color w:val="000000"/>
          <w:sz w:val="22"/>
          <w:szCs w:val="22"/>
          <w:lang w:eastAsia="zh-CN"/>
        </w:rPr>
        <w:t>Attention</w:t>
      </w:r>
      <w:r w:rsidRPr="000A7972">
        <w:rPr>
          <w:color w:val="000000"/>
          <w:sz w:val="22"/>
          <w:szCs w:val="22"/>
          <w:lang w:eastAsia="zh-CN"/>
        </w:rPr>
        <w:t xml:space="preserve"> is given to CO₂ breakthrough behavior, two-phase flow dynamics, and their implications for long-term carbon storage performance.</w:t>
      </w:r>
    </w:p>
    <w:p w14:paraId="174FC42A" w14:textId="77777777" w:rsidR="00672BD9" w:rsidRPr="000A7972" w:rsidRDefault="00672BD9" w:rsidP="00672BD9">
      <w:pPr>
        <w:pBdr>
          <w:top w:val="nil"/>
          <w:left w:val="nil"/>
          <w:bottom w:val="nil"/>
          <w:right w:val="nil"/>
          <w:between w:val="nil"/>
        </w:pBdr>
        <w:tabs>
          <w:tab w:val="left" w:pos="504"/>
        </w:tabs>
        <w:spacing w:line="240" w:lineRule="auto"/>
        <w:ind w:leftChars="0" w:left="358" w:firstLineChars="0" w:firstLine="0"/>
        <w:jc w:val="both"/>
        <w:rPr>
          <w:rFonts w:hint="eastAsia"/>
          <w:color w:val="000000"/>
          <w:sz w:val="22"/>
          <w:szCs w:val="22"/>
          <w:lang w:eastAsia="zh-CN"/>
        </w:rPr>
      </w:pPr>
    </w:p>
    <w:p w14:paraId="136FC99C" w14:textId="5E46B53F" w:rsidR="0079269C" w:rsidRPr="000A7972" w:rsidRDefault="00693E59" w:rsidP="0018523B">
      <w:pPr>
        <w:pStyle w:val="aff8"/>
        <w:numPr>
          <w:ilvl w:val="1"/>
          <w:numId w:val="6"/>
        </w:numPr>
        <w:pBdr>
          <w:top w:val="nil"/>
          <w:left w:val="nil"/>
          <w:bottom w:val="nil"/>
          <w:right w:val="nil"/>
          <w:between w:val="nil"/>
        </w:pBdr>
        <w:tabs>
          <w:tab w:val="left" w:pos="504"/>
        </w:tabs>
        <w:spacing w:line="240" w:lineRule="auto"/>
        <w:ind w:leftChars="0" w:firstLineChars="0"/>
        <w:jc w:val="both"/>
        <w:rPr>
          <w:color w:val="000000"/>
          <w:sz w:val="22"/>
          <w:szCs w:val="22"/>
          <w:lang w:eastAsia="zh-CN"/>
        </w:rPr>
      </w:pPr>
      <w:r w:rsidRPr="000A7972">
        <w:rPr>
          <w:rFonts w:hint="eastAsia"/>
          <w:b/>
          <w:bCs/>
          <w:color w:val="000000"/>
          <w:sz w:val="22"/>
          <w:szCs w:val="22"/>
          <w:lang w:eastAsia="zh-CN"/>
        </w:rPr>
        <w:t>Understanding the</w:t>
      </w:r>
      <w:r w:rsidR="009D1A35" w:rsidRPr="000A7972">
        <w:rPr>
          <w:rFonts w:hint="eastAsia"/>
          <w:b/>
          <w:bCs/>
          <w:color w:val="000000"/>
          <w:sz w:val="22"/>
          <w:szCs w:val="22"/>
          <w:lang w:eastAsia="zh-CN"/>
        </w:rPr>
        <w:t xml:space="preserve"> </w:t>
      </w:r>
      <w:r w:rsidRPr="000A7972">
        <w:rPr>
          <w:rFonts w:hint="eastAsia"/>
          <w:b/>
          <w:bCs/>
          <w:color w:val="000000"/>
          <w:sz w:val="22"/>
          <w:szCs w:val="22"/>
          <w:lang w:eastAsia="zh-CN"/>
        </w:rPr>
        <w:t xml:space="preserve">potential </w:t>
      </w:r>
      <w:r w:rsidR="009D1A35" w:rsidRPr="000A7972">
        <w:rPr>
          <w:rFonts w:hint="eastAsia"/>
          <w:b/>
          <w:bCs/>
          <w:color w:val="000000"/>
          <w:sz w:val="22"/>
          <w:szCs w:val="22"/>
          <w:lang w:eastAsia="zh-CN"/>
        </w:rPr>
        <w:t xml:space="preserve">mineral dissolution/participation caused by brine </w:t>
      </w:r>
      <w:r w:rsidRPr="000A7972">
        <w:rPr>
          <w:rFonts w:hint="eastAsia"/>
          <w:b/>
          <w:bCs/>
          <w:color w:val="000000"/>
          <w:sz w:val="22"/>
          <w:szCs w:val="22"/>
          <w:lang w:eastAsia="zh-CN"/>
        </w:rPr>
        <w:t xml:space="preserve">carbonic </w:t>
      </w:r>
      <w:r w:rsidR="009D1A35" w:rsidRPr="000A7972">
        <w:rPr>
          <w:rFonts w:hint="eastAsia"/>
          <w:b/>
          <w:bCs/>
          <w:color w:val="000000"/>
          <w:sz w:val="22"/>
          <w:szCs w:val="22"/>
          <w:lang w:eastAsia="zh-CN"/>
        </w:rPr>
        <w:t>acidification:</w:t>
      </w:r>
      <w:r w:rsidR="009D1A35" w:rsidRPr="000A7972">
        <w:rPr>
          <w:rFonts w:hint="eastAsia"/>
          <w:color w:val="000000"/>
          <w:sz w:val="22"/>
          <w:szCs w:val="22"/>
          <w:lang w:eastAsia="zh-CN"/>
        </w:rPr>
        <w:t xml:space="preserve"> </w:t>
      </w:r>
      <w:r w:rsidR="00851D3A" w:rsidRPr="000A7972">
        <w:rPr>
          <w:color w:val="000000"/>
          <w:sz w:val="22"/>
          <w:szCs w:val="22"/>
          <w:lang w:eastAsia="zh-CN"/>
        </w:rPr>
        <w:t>The research investigates mineral dissolution and precipitation triggered by CO₂-induced brine acidification and their impact on</w:t>
      </w:r>
      <w:r w:rsidR="00E1392E" w:rsidRPr="000A7972">
        <w:rPr>
          <w:rFonts w:hint="eastAsia"/>
          <w:color w:val="000000"/>
          <w:sz w:val="22"/>
          <w:szCs w:val="22"/>
          <w:lang w:eastAsia="zh-CN"/>
        </w:rPr>
        <w:t xml:space="preserve"> pore</w:t>
      </w:r>
      <w:r w:rsidR="00851D3A" w:rsidRPr="000A7972">
        <w:rPr>
          <w:color w:val="000000"/>
          <w:sz w:val="22"/>
          <w:szCs w:val="22"/>
          <w:lang w:eastAsia="zh-CN"/>
        </w:rPr>
        <w:t xml:space="preserve"> geometry, porosity, and permeability. The study evaluates how reactive carbonate and clay phases influence mechanical integrity and permeability evolution under coupled chemical–mechanical conditions.</w:t>
      </w:r>
    </w:p>
    <w:p w14:paraId="232EF375" w14:textId="77777777" w:rsidR="00B33804" w:rsidRPr="000A7972" w:rsidRDefault="00B33804" w:rsidP="00851D3A">
      <w:pPr>
        <w:pBdr>
          <w:top w:val="nil"/>
          <w:left w:val="nil"/>
          <w:bottom w:val="nil"/>
          <w:right w:val="nil"/>
          <w:between w:val="nil"/>
        </w:pBdr>
        <w:tabs>
          <w:tab w:val="left" w:pos="504"/>
        </w:tabs>
        <w:spacing w:line="240" w:lineRule="auto"/>
        <w:ind w:leftChars="0" w:left="0" w:firstLineChars="0" w:firstLine="0"/>
        <w:jc w:val="both"/>
        <w:rPr>
          <w:rFonts w:hint="eastAsia"/>
          <w:color w:val="000000"/>
          <w:sz w:val="22"/>
          <w:szCs w:val="22"/>
          <w:lang w:eastAsia="zh-CN"/>
        </w:rPr>
      </w:pPr>
    </w:p>
    <w:p w14:paraId="0CA45928" w14:textId="43E0E8D3" w:rsidR="009F58B2" w:rsidRPr="000A7972" w:rsidRDefault="009F58B2" w:rsidP="0018523B">
      <w:pPr>
        <w:pStyle w:val="aff8"/>
        <w:numPr>
          <w:ilvl w:val="1"/>
          <w:numId w:val="6"/>
        </w:numPr>
        <w:pBdr>
          <w:top w:val="nil"/>
          <w:left w:val="nil"/>
          <w:bottom w:val="nil"/>
          <w:right w:val="nil"/>
          <w:between w:val="nil"/>
        </w:pBdr>
        <w:tabs>
          <w:tab w:val="left" w:pos="504"/>
        </w:tabs>
        <w:spacing w:line="240" w:lineRule="auto"/>
        <w:ind w:leftChars="0" w:firstLineChars="0"/>
        <w:jc w:val="both"/>
        <w:rPr>
          <w:rFonts w:hint="eastAsia"/>
          <w:color w:val="000000"/>
          <w:sz w:val="22"/>
          <w:szCs w:val="22"/>
          <w:lang w:eastAsia="zh-CN"/>
        </w:rPr>
      </w:pPr>
      <w:r w:rsidRPr="000A7972">
        <w:rPr>
          <w:rFonts w:hint="eastAsia"/>
          <w:b/>
          <w:bCs/>
          <w:color w:val="000000"/>
          <w:sz w:val="22"/>
          <w:szCs w:val="22"/>
          <w:lang w:eastAsia="zh-CN"/>
        </w:rPr>
        <w:t>Investigation of potential salt participation due to high-salinity brine dry-out:</w:t>
      </w:r>
      <w:r w:rsidRPr="000A7972">
        <w:rPr>
          <w:rFonts w:hint="eastAsia"/>
          <w:color w:val="000000"/>
          <w:sz w:val="22"/>
          <w:szCs w:val="22"/>
          <w:lang w:eastAsia="zh-CN"/>
        </w:rPr>
        <w:t xml:space="preserve"> </w:t>
      </w:r>
      <w:r w:rsidR="00851D3A" w:rsidRPr="000A7972">
        <w:rPr>
          <w:color w:val="000000"/>
          <w:sz w:val="22"/>
          <w:szCs w:val="22"/>
          <w:lang w:eastAsia="zh-CN"/>
        </w:rPr>
        <w:t>The study further examines salt precipitation during cyclic gas–brine injection under high-salinity conditions, with emphasis on its role in permeability reduction and injectivity impairment. The aim is to distinguish precipitation-driven effects from purely mechanical stress responses.</w:t>
      </w:r>
    </w:p>
    <w:p w14:paraId="515884B0" w14:textId="77777777" w:rsidR="0079269C" w:rsidRPr="000A7972" w:rsidRDefault="0079269C" w:rsidP="0079269C">
      <w:pPr>
        <w:pBdr>
          <w:top w:val="nil"/>
          <w:left w:val="nil"/>
          <w:bottom w:val="nil"/>
          <w:right w:val="nil"/>
          <w:between w:val="nil"/>
        </w:pBdr>
        <w:tabs>
          <w:tab w:val="left" w:pos="504"/>
        </w:tabs>
        <w:spacing w:line="240" w:lineRule="auto"/>
        <w:ind w:left="0" w:hanging="2"/>
        <w:jc w:val="both"/>
        <w:rPr>
          <w:rFonts w:hint="eastAsia"/>
          <w:color w:val="000000"/>
          <w:sz w:val="22"/>
          <w:szCs w:val="22"/>
          <w:lang w:eastAsia="zh-CN"/>
        </w:rPr>
      </w:pPr>
    </w:p>
    <w:p w14:paraId="415B4033" w14:textId="1D9B0CF6" w:rsidR="00B022E6" w:rsidRPr="000A7972" w:rsidRDefault="00000000" w:rsidP="0018523B">
      <w:pPr>
        <w:pStyle w:val="aff8"/>
        <w:numPr>
          <w:ilvl w:val="0"/>
          <w:numId w:val="6"/>
        </w:numPr>
        <w:pBdr>
          <w:top w:val="nil"/>
          <w:left w:val="nil"/>
          <w:bottom w:val="nil"/>
          <w:right w:val="nil"/>
          <w:between w:val="nil"/>
        </w:pBdr>
        <w:tabs>
          <w:tab w:val="left" w:pos="504"/>
        </w:tabs>
        <w:spacing w:line="240" w:lineRule="auto"/>
        <w:ind w:leftChars="0" w:firstLineChars="0"/>
        <w:rPr>
          <w:b/>
          <w:color w:val="000000"/>
          <w:sz w:val="22"/>
          <w:szCs w:val="22"/>
        </w:rPr>
      </w:pPr>
      <w:r w:rsidRPr="000A7972">
        <w:rPr>
          <w:b/>
          <w:color w:val="000000"/>
          <w:sz w:val="22"/>
          <w:szCs w:val="22"/>
        </w:rPr>
        <w:t>Method and/or Theory</w:t>
      </w:r>
    </w:p>
    <w:p w14:paraId="64BAAE08" w14:textId="77777777" w:rsidR="00B022E6" w:rsidRPr="000A7972" w:rsidRDefault="00B022E6">
      <w:pPr>
        <w:pBdr>
          <w:top w:val="nil"/>
          <w:left w:val="nil"/>
          <w:bottom w:val="nil"/>
          <w:right w:val="nil"/>
          <w:between w:val="nil"/>
        </w:pBdr>
        <w:tabs>
          <w:tab w:val="left" w:pos="504"/>
        </w:tabs>
        <w:spacing w:line="240" w:lineRule="auto"/>
        <w:ind w:left="0" w:hanging="2"/>
        <w:jc w:val="both"/>
        <w:rPr>
          <w:sz w:val="22"/>
          <w:szCs w:val="22"/>
        </w:rPr>
      </w:pPr>
    </w:p>
    <w:p w14:paraId="399B0A81" w14:textId="5ABA33C6" w:rsidR="009F58B2" w:rsidRPr="000A7972" w:rsidRDefault="009F58B2" w:rsidP="00672BD9">
      <w:pPr>
        <w:pBdr>
          <w:top w:val="nil"/>
          <w:left w:val="nil"/>
          <w:bottom w:val="nil"/>
          <w:right w:val="nil"/>
          <w:between w:val="nil"/>
        </w:pBdr>
        <w:tabs>
          <w:tab w:val="left" w:pos="504"/>
        </w:tabs>
        <w:spacing w:line="240" w:lineRule="auto"/>
        <w:ind w:left="0" w:hanging="2"/>
        <w:jc w:val="both"/>
        <w:rPr>
          <w:sz w:val="22"/>
          <w:szCs w:val="22"/>
        </w:rPr>
      </w:pPr>
      <w:r w:rsidRPr="000A7972">
        <w:rPr>
          <w:b/>
          <w:bCs/>
          <w:sz w:val="22"/>
          <w:szCs w:val="22"/>
        </w:rPr>
        <w:t>Step 1. Residual pore-water removal &amp; static experiment:</w:t>
      </w:r>
      <w:r w:rsidRPr="000A7972">
        <w:rPr>
          <w:sz w:val="22"/>
          <w:szCs w:val="22"/>
        </w:rPr>
        <w:t xml:space="preserve"> </w:t>
      </w:r>
      <w:r w:rsidR="00672BD9" w:rsidRPr="000A7972">
        <w:rPr>
          <w:sz w:val="22"/>
          <w:szCs w:val="22"/>
        </w:rPr>
        <w:t>Residual formation water is removed to prevent mixed-salinity effects prior to synthetic brine injection. Core samples are oven-dried and subsequently vacuum-treated until mass stabilization is achieved to ensure minimal residual saturation.</w:t>
      </w:r>
    </w:p>
    <w:p w14:paraId="0A02D571" w14:textId="77777777" w:rsidR="00672BD9" w:rsidRPr="000A7972" w:rsidRDefault="00672BD9" w:rsidP="00672BD9">
      <w:pPr>
        <w:pBdr>
          <w:top w:val="nil"/>
          <w:left w:val="nil"/>
          <w:bottom w:val="nil"/>
          <w:right w:val="nil"/>
          <w:between w:val="nil"/>
        </w:pBdr>
        <w:tabs>
          <w:tab w:val="left" w:pos="504"/>
        </w:tabs>
        <w:spacing w:line="240" w:lineRule="auto"/>
        <w:ind w:left="0" w:hanging="2"/>
        <w:jc w:val="both"/>
        <w:rPr>
          <w:sz w:val="22"/>
          <w:szCs w:val="22"/>
        </w:rPr>
      </w:pPr>
    </w:p>
    <w:p w14:paraId="5841CC8B" w14:textId="0A2B3927" w:rsidR="009F58B2" w:rsidRPr="000A7972" w:rsidRDefault="009F58B2" w:rsidP="00672BD9">
      <w:pPr>
        <w:pBdr>
          <w:top w:val="nil"/>
          <w:left w:val="nil"/>
          <w:bottom w:val="nil"/>
          <w:right w:val="nil"/>
          <w:between w:val="nil"/>
        </w:pBdr>
        <w:tabs>
          <w:tab w:val="left" w:pos="504"/>
        </w:tabs>
        <w:spacing w:line="240" w:lineRule="auto"/>
        <w:ind w:left="0" w:hanging="2"/>
        <w:jc w:val="both"/>
        <w:rPr>
          <w:sz w:val="22"/>
          <w:szCs w:val="22"/>
        </w:rPr>
      </w:pPr>
      <w:r w:rsidRPr="000A7972">
        <w:rPr>
          <w:b/>
          <w:bCs/>
          <w:sz w:val="22"/>
          <w:szCs w:val="22"/>
        </w:rPr>
        <w:t>Step 2</w:t>
      </w:r>
      <w:r w:rsidR="00672BD9" w:rsidRPr="000A7972">
        <w:rPr>
          <w:rFonts w:hint="eastAsia"/>
          <w:b/>
          <w:bCs/>
          <w:sz w:val="22"/>
          <w:szCs w:val="22"/>
          <w:lang w:eastAsia="zh-CN"/>
        </w:rPr>
        <w:t xml:space="preserve">. </w:t>
      </w:r>
      <w:r w:rsidRPr="000A7972">
        <w:rPr>
          <w:b/>
          <w:bCs/>
          <w:sz w:val="22"/>
          <w:szCs w:val="22"/>
        </w:rPr>
        <w:t>Powder-scale static brine-rock experiment:</w:t>
      </w:r>
      <w:r w:rsidRPr="000A7972">
        <w:rPr>
          <w:sz w:val="22"/>
          <w:szCs w:val="22"/>
        </w:rPr>
        <w:t xml:space="preserve"> </w:t>
      </w:r>
      <w:r w:rsidR="00672BD9" w:rsidRPr="000A7972">
        <w:rPr>
          <w:sz w:val="22"/>
          <w:szCs w:val="22"/>
        </w:rPr>
        <w:t xml:space="preserve">Parallel powder-scale batch experiments are conducted in </w:t>
      </w:r>
      <w:r w:rsidR="00E1392E" w:rsidRPr="000A7972">
        <w:rPr>
          <w:sz w:val="22"/>
          <w:szCs w:val="22"/>
        </w:rPr>
        <w:t>brine</w:t>
      </w:r>
      <w:r w:rsidR="00672BD9" w:rsidRPr="000A7972">
        <w:rPr>
          <w:sz w:val="22"/>
          <w:szCs w:val="22"/>
        </w:rPr>
        <w:t xml:space="preserve"> of varying salinity to assess mineral reactivity under static conditions. pH evolution is monitored, effluent samples are analyzed using ICP-MS, and reacted solids are characterized by XRD to evaluate dissolution and mineralogical changes.</w:t>
      </w:r>
    </w:p>
    <w:p w14:paraId="5611B12E" w14:textId="77777777" w:rsidR="009F58B2" w:rsidRPr="000A7972" w:rsidRDefault="009F58B2" w:rsidP="009F58B2">
      <w:pPr>
        <w:pBdr>
          <w:top w:val="nil"/>
          <w:left w:val="nil"/>
          <w:bottom w:val="nil"/>
          <w:right w:val="nil"/>
          <w:between w:val="nil"/>
        </w:pBdr>
        <w:tabs>
          <w:tab w:val="left" w:pos="504"/>
        </w:tabs>
        <w:spacing w:line="240" w:lineRule="auto"/>
        <w:ind w:left="0" w:hanging="2"/>
        <w:jc w:val="both"/>
        <w:rPr>
          <w:sz w:val="22"/>
          <w:szCs w:val="22"/>
        </w:rPr>
      </w:pPr>
    </w:p>
    <w:p w14:paraId="1A42A63D" w14:textId="3040AE87" w:rsidR="00B022E6" w:rsidRPr="000A7972" w:rsidRDefault="009F58B2" w:rsidP="00672BD9">
      <w:pPr>
        <w:pBdr>
          <w:top w:val="nil"/>
          <w:left w:val="nil"/>
          <w:bottom w:val="nil"/>
          <w:right w:val="nil"/>
          <w:between w:val="nil"/>
        </w:pBdr>
        <w:tabs>
          <w:tab w:val="left" w:pos="504"/>
        </w:tabs>
        <w:spacing w:line="240" w:lineRule="auto"/>
        <w:ind w:left="0" w:hanging="2"/>
        <w:jc w:val="both"/>
        <w:rPr>
          <w:sz w:val="22"/>
          <w:szCs w:val="22"/>
        </w:rPr>
      </w:pPr>
      <w:r w:rsidRPr="000A7972">
        <w:rPr>
          <w:b/>
          <w:bCs/>
          <w:sz w:val="22"/>
          <w:szCs w:val="22"/>
        </w:rPr>
        <w:t>Step 3. Brine-rock interaction phase (core-flooding experiment):</w:t>
      </w:r>
      <w:r w:rsidRPr="000A7972">
        <w:rPr>
          <w:sz w:val="22"/>
          <w:szCs w:val="22"/>
        </w:rPr>
        <w:t xml:space="preserve"> </w:t>
      </w:r>
      <w:r w:rsidR="00672BD9" w:rsidRPr="000A7972">
        <w:rPr>
          <w:sz w:val="22"/>
          <w:szCs w:val="22"/>
        </w:rPr>
        <w:t xml:space="preserve">Sequential brine flooding is performed under progressively increasing effective stresses (2–19 MPa) to examine permeability evolution and stress sensitivity. The initial stress stage is maintained for extended stabilization, while </w:t>
      </w:r>
      <w:r w:rsidR="00672BD9" w:rsidRPr="000A7972">
        <w:rPr>
          <w:sz w:val="22"/>
          <w:szCs w:val="22"/>
        </w:rPr>
        <w:lastRenderedPageBreak/>
        <w:t>subsequent stages continue until steady pressure conditions are reached. A stress-conditioning procedure is applied prior to testing, and the loading path is reversed to evaluate stress relaxation and reproducibility</w:t>
      </w:r>
      <w:r w:rsidR="000A7972" w:rsidRPr="000A7972">
        <w:rPr>
          <w:rFonts w:hint="eastAsia"/>
          <w:sz w:val="22"/>
          <w:szCs w:val="22"/>
          <w:lang w:eastAsia="zh-CN"/>
        </w:rPr>
        <w:t xml:space="preserve"> (Hashemi et al., 2022)</w:t>
      </w:r>
      <w:r w:rsidR="00672BD9" w:rsidRPr="000A7972">
        <w:rPr>
          <w:sz w:val="22"/>
          <w:szCs w:val="22"/>
        </w:rPr>
        <w:t>.</w:t>
      </w:r>
    </w:p>
    <w:p w14:paraId="67955876" w14:textId="77777777" w:rsidR="00B33804" w:rsidRPr="000A7972" w:rsidRDefault="00B33804" w:rsidP="00B33804">
      <w:pPr>
        <w:pBdr>
          <w:top w:val="nil"/>
          <w:left w:val="nil"/>
          <w:bottom w:val="nil"/>
          <w:right w:val="nil"/>
          <w:between w:val="nil"/>
        </w:pBdr>
        <w:tabs>
          <w:tab w:val="left" w:pos="504"/>
        </w:tabs>
        <w:spacing w:line="240" w:lineRule="auto"/>
        <w:ind w:leftChars="0" w:left="0" w:firstLineChars="0" w:firstLine="0"/>
        <w:jc w:val="both"/>
        <w:rPr>
          <w:rFonts w:hint="eastAsia"/>
          <w:color w:val="000000"/>
          <w:sz w:val="22"/>
          <w:szCs w:val="22"/>
        </w:rPr>
      </w:pPr>
    </w:p>
    <w:p w14:paraId="70E7BC12" w14:textId="2E28546A" w:rsidR="00672BD9" w:rsidRDefault="009F58B2" w:rsidP="00672BD9">
      <w:pPr>
        <w:pBdr>
          <w:top w:val="nil"/>
          <w:left w:val="nil"/>
          <w:bottom w:val="nil"/>
          <w:right w:val="nil"/>
          <w:between w:val="nil"/>
        </w:pBdr>
        <w:tabs>
          <w:tab w:val="left" w:pos="504"/>
        </w:tabs>
        <w:spacing w:line="240" w:lineRule="auto"/>
        <w:ind w:left="0" w:hanging="2"/>
        <w:jc w:val="both"/>
        <w:rPr>
          <w:color w:val="000000"/>
          <w:sz w:val="22"/>
          <w:szCs w:val="22"/>
          <w:lang w:eastAsia="zh-CN"/>
        </w:rPr>
      </w:pPr>
      <w:r w:rsidRPr="000A7972">
        <w:rPr>
          <w:rFonts w:hint="eastAsia"/>
          <w:b/>
          <w:bCs/>
          <w:color w:val="000000"/>
          <w:sz w:val="22"/>
          <w:szCs w:val="22"/>
        </w:rPr>
        <w:t xml:space="preserve">Step </w:t>
      </w:r>
      <w:r w:rsidR="00B33804" w:rsidRPr="000A7972">
        <w:rPr>
          <w:rFonts w:hint="eastAsia"/>
          <w:b/>
          <w:bCs/>
          <w:color w:val="000000"/>
          <w:sz w:val="22"/>
          <w:szCs w:val="22"/>
          <w:lang w:eastAsia="zh-CN"/>
        </w:rPr>
        <w:t>4</w:t>
      </w:r>
      <w:r w:rsidR="00672BD9" w:rsidRPr="000A7972">
        <w:rPr>
          <w:rFonts w:hint="eastAsia"/>
          <w:b/>
          <w:bCs/>
          <w:color w:val="000000"/>
          <w:sz w:val="22"/>
          <w:szCs w:val="22"/>
          <w:lang w:eastAsia="zh-CN"/>
        </w:rPr>
        <w:t xml:space="preserve">. </w:t>
      </w:r>
      <w:r w:rsidRPr="000A7972">
        <w:rPr>
          <w:rFonts w:ascii="Cambria Math" w:hAnsi="Cambria Math" w:cs="Cambria Math"/>
          <w:b/>
          <w:bCs/>
          <w:color w:val="000000"/>
          <w:sz w:val="22"/>
          <w:szCs w:val="22"/>
        </w:rPr>
        <w:t>𝑁</w:t>
      </w:r>
      <w:r w:rsidR="00B33804" w:rsidRPr="000A7972">
        <w:rPr>
          <w:rFonts w:hint="eastAsia"/>
          <w:b/>
          <w:bCs/>
          <w:color w:val="000000"/>
          <w:sz w:val="22"/>
          <w:szCs w:val="22"/>
          <w:vertAlign w:val="subscript"/>
          <w:lang w:eastAsia="zh-CN"/>
        </w:rPr>
        <w:t>2</w:t>
      </w:r>
      <w:r w:rsidRPr="000A7972">
        <w:rPr>
          <w:rFonts w:hint="eastAsia"/>
          <w:b/>
          <w:bCs/>
          <w:color w:val="000000"/>
          <w:sz w:val="22"/>
          <w:szCs w:val="22"/>
        </w:rPr>
        <w:t>/</w:t>
      </w:r>
      <w:r w:rsidRPr="000A7972">
        <w:rPr>
          <w:rFonts w:ascii="Cambria Math" w:hAnsi="Cambria Math" w:cs="Cambria Math"/>
          <w:b/>
          <w:bCs/>
          <w:color w:val="000000"/>
          <w:sz w:val="22"/>
          <w:szCs w:val="22"/>
        </w:rPr>
        <w:t>𝐶𝑂</w:t>
      </w:r>
      <w:r w:rsidR="00B33804" w:rsidRPr="000A7972">
        <w:rPr>
          <w:rFonts w:hint="eastAsia"/>
          <w:b/>
          <w:bCs/>
          <w:color w:val="000000"/>
          <w:sz w:val="22"/>
          <w:szCs w:val="22"/>
          <w:vertAlign w:val="subscript"/>
          <w:lang w:eastAsia="zh-CN"/>
        </w:rPr>
        <w:t>2</w:t>
      </w:r>
      <w:r w:rsidRPr="000A7972">
        <w:rPr>
          <w:rFonts w:hint="eastAsia"/>
          <w:b/>
          <w:bCs/>
          <w:color w:val="000000"/>
          <w:sz w:val="22"/>
          <w:szCs w:val="22"/>
        </w:rPr>
        <w:t>-brine-rock interaction phase (cyclic core-flooding experiment):</w:t>
      </w:r>
      <w:r w:rsidRPr="000A7972">
        <w:rPr>
          <w:rFonts w:hint="eastAsia"/>
          <w:color w:val="000000"/>
          <w:sz w:val="22"/>
          <w:szCs w:val="22"/>
          <w:lang w:eastAsia="zh-CN"/>
        </w:rPr>
        <w:t xml:space="preserve"> </w:t>
      </w:r>
      <w:r w:rsidR="00672BD9" w:rsidRPr="000A7972">
        <w:rPr>
          <w:color w:val="000000"/>
          <w:sz w:val="22"/>
          <w:szCs w:val="22"/>
          <w:lang w:eastAsia="zh-CN"/>
        </w:rPr>
        <w:t xml:space="preserve">Cyclic gas–brine flooding is conducted to distinguish mechanical and reactive effects on </w:t>
      </w:r>
      <w:r w:rsidR="00E1392E" w:rsidRPr="000A7972">
        <w:rPr>
          <w:rFonts w:hint="eastAsia"/>
          <w:color w:val="000000"/>
          <w:sz w:val="22"/>
          <w:szCs w:val="22"/>
          <w:lang w:eastAsia="zh-CN"/>
        </w:rPr>
        <w:t>sandstone matrix</w:t>
      </w:r>
      <w:r w:rsidR="00672BD9" w:rsidRPr="000A7972">
        <w:rPr>
          <w:color w:val="000000"/>
          <w:sz w:val="22"/>
          <w:szCs w:val="22"/>
          <w:lang w:eastAsia="zh-CN"/>
        </w:rPr>
        <w:t xml:space="preserve"> permeability. N₂ injection establishes a non-reactive baseline, followed by CO₂ flooding under identical stress conditions. Each gas stage is followed by brine flushing to reassess permeability. The protocol is repeated on two cores with contrasting mineral compositions to evaluate the influence of carbonate and clay reactivity.</w:t>
      </w:r>
    </w:p>
    <w:p w14:paraId="47BDB64C" w14:textId="77777777" w:rsidR="0018523B" w:rsidRDefault="0018523B" w:rsidP="00672BD9">
      <w:pPr>
        <w:pBdr>
          <w:top w:val="nil"/>
          <w:left w:val="nil"/>
          <w:bottom w:val="nil"/>
          <w:right w:val="nil"/>
          <w:between w:val="nil"/>
        </w:pBdr>
        <w:tabs>
          <w:tab w:val="left" w:pos="504"/>
        </w:tabs>
        <w:spacing w:line="240" w:lineRule="auto"/>
        <w:ind w:left="0" w:hanging="2"/>
        <w:jc w:val="both"/>
        <w:rPr>
          <w:color w:val="000000"/>
          <w:sz w:val="22"/>
          <w:szCs w:val="22"/>
          <w:lang w:eastAsia="zh-CN"/>
        </w:rPr>
      </w:pPr>
    </w:p>
    <w:p w14:paraId="12DCD101" w14:textId="5642E60D" w:rsidR="0018523B" w:rsidRDefault="0018523B" w:rsidP="0018523B">
      <w:pPr>
        <w:pBdr>
          <w:top w:val="nil"/>
          <w:left w:val="nil"/>
          <w:bottom w:val="nil"/>
          <w:right w:val="nil"/>
          <w:between w:val="nil"/>
        </w:pBdr>
        <w:tabs>
          <w:tab w:val="left" w:pos="504"/>
        </w:tabs>
        <w:spacing w:line="240" w:lineRule="auto"/>
        <w:ind w:left="0" w:hanging="2"/>
        <w:jc w:val="center"/>
        <w:rPr>
          <w:color w:val="000000"/>
          <w:sz w:val="22"/>
          <w:szCs w:val="22"/>
          <w:lang w:eastAsia="zh-CN"/>
        </w:rPr>
      </w:pPr>
      <w:r w:rsidRPr="0018523B">
        <w:rPr>
          <w:color w:val="000000"/>
          <w:sz w:val="22"/>
          <w:szCs w:val="22"/>
          <w:lang w:eastAsia="zh-CN"/>
        </w:rPr>
        <w:drawing>
          <wp:inline distT="0" distB="0" distL="0" distR="0" wp14:anchorId="5F805D68" wp14:editId="0AA6DA3B">
            <wp:extent cx="4263945" cy="2910178"/>
            <wp:effectExtent l="0" t="0" r="3810" b="5080"/>
            <wp:docPr id="153812850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128504" name=""/>
                    <pic:cNvPicPr/>
                  </pic:nvPicPr>
                  <pic:blipFill>
                    <a:blip r:embed="rId8"/>
                    <a:stretch>
                      <a:fillRect/>
                    </a:stretch>
                  </pic:blipFill>
                  <pic:spPr>
                    <a:xfrm>
                      <a:off x="0" y="0"/>
                      <a:ext cx="4263945" cy="2910178"/>
                    </a:xfrm>
                    <a:prstGeom prst="rect">
                      <a:avLst/>
                    </a:prstGeom>
                  </pic:spPr>
                </pic:pic>
              </a:graphicData>
            </a:graphic>
          </wp:inline>
        </w:drawing>
      </w:r>
    </w:p>
    <w:p w14:paraId="2F9F25FE" w14:textId="77DD6D6A" w:rsidR="00672BD9" w:rsidRDefault="0018523B" w:rsidP="007654BA">
      <w:pPr>
        <w:pBdr>
          <w:top w:val="nil"/>
          <w:left w:val="nil"/>
          <w:bottom w:val="nil"/>
          <w:right w:val="nil"/>
          <w:between w:val="nil"/>
        </w:pBdr>
        <w:tabs>
          <w:tab w:val="left" w:pos="504"/>
        </w:tabs>
        <w:spacing w:line="240" w:lineRule="auto"/>
        <w:ind w:left="0" w:hanging="2"/>
        <w:jc w:val="both"/>
        <w:rPr>
          <w:rFonts w:hint="eastAsia"/>
          <w:color w:val="000000"/>
          <w:sz w:val="22"/>
          <w:szCs w:val="22"/>
          <w:lang w:eastAsia="zh-CN"/>
        </w:rPr>
      </w:pPr>
      <w:r w:rsidRPr="007654BA">
        <w:rPr>
          <w:rFonts w:hint="eastAsia"/>
          <w:b/>
          <w:bCs/>
          <w:color w:val="000000"/>
          <w:sz w:val="22"/>
          <w:szCs w:val="22"/>
          <w:lang w:eastAsia="zh-CN"/>
        </w:rPr>
        <w:t>Figure 1.</w:t>
      </w:r>
      <w:r>
        <w:rPr>
          <w:rFonts w:hint="eastAsia"/>
          <w:color w:val="000000"/>
          <w:sz w:val="22"/>
          <w:szCs w:val="22"/>
          <w:lang w:eastAsia="zh-CN"/>
        </w:rPr>
        <w:t xml:space="preserve"> </w:t>
      </w:r>
      <w:r w:rsidR="007654BA">
        <w:rPr>
          <w:rFonts w:hint="eastAsia"/>
          <w:color w:val="000000"/>
          <w:sz w:val="22"/>
          <w:szCs w:val="22"/>
          <w:lang w:eastAsia="zh-CN"/>
        </w:rPr>
        <w:t>Demonstration of</w:t>
      </w:r>
      <w:r w:rsidR="002D5A2D">
        <w:rPr>
          <w:rFonts w:hint="eastAsia"/>
          <w:color w:val="000000"/>
          <w:sz w:val="22"/>
          <w:szCs w:val="22"/>
          <w:lang w:eastAsia="zh-CN"/>
        </w:rPr>
        <w:t xml:space="preserve"> designated</w:t>
      </w:r>
      <w:r w:rsidR="007654BA">
        <w:rPr>
          <w:rFonts w:hint="eastAsia"/>
          <w:color w:val="000000"/>
          <w:sz w:val="22"/>
          <w:szCs w:val="22"/>
          <w:lang w:eastAsia="zh-CN"/>
        </w:rPr>
        <w:t xml:space="preserve"> </w:t>
      </w:r>
      <w:r w:rsidRPr="0018523B">
        <w:rPr>
          <w:rFonts w:hint="eastAsia"/>
          <w:color w:val="000000"/>
          <w:sz w:val="22"/>
          <w:szCs w:val="22"/>
          <w:lang w:eastAsia="zh-CN"/>
        </w:rPr>
        <w:t>N</w:t>
      </w:r>
      <w:r w:rsidRPr="0018523B">
        <w:rPr>
          <w:rFonts w:hint="eastAsia"/>
          <w:color w:val="000000"/>
          <w:sz w:val="22"/>
          <w:szCs w:val="22"/>
          <w:vertAlign w:val="subscript"/>
          <w:lang w:eastAsia="zh-CN"/>
        </w:rPr>
        <w:t>2</w:t>
      </w:r>
      <w:r w:rsidRPr="0018523B">
        <w:rPr>
          <w:rFonts w:hint="eastAsia"/>
          <w:color w:val="000000"/>
          <w:sz w:val="22"/>
          <w:szCs w:val="22"/>
          <w:lang w:eastAsia="zh-CN"/>
        </w:rPr>
        <w:t xml:space="preserve">-brine </w:t>
      </w:r>
      <w:r w:rsidR="00312D1B">
        <w:rPr>
          <w:rFonts w:hint="eastAsia"/>
          <w:color w:val="000000"/>
          <w:sz w:val="22"/>
          <w:szCs w:val="22"/>
          <w:lang w:eastAsia="zh-CN"/>
        </w:rPr>
        <w:t>and</w:t>
      </w:r>
      <w:r w:rsidRPr="0018523B">
        <w:rPr>
          <w:rFonts w:hint="eastAsia"/>
          <w:color w:val="000000"/>
          <w:sz w:val="22"/>
          <w:szCs w:val="22"/>
          <w:lang w:eastAsia="zh-CN"/>
        </w:rPr>
        <w:t xml:space="preserve"> </w:t>
      </w:r>
      <w:r w:rsidRPr="0018523B">
        <w:rPr>
          <w:rFonts w:ascii="Cambria Math" w:hAnsi="Cambria Math" w:cs="Cambria Math"/>
          <w:color w:val="000000"/>
          <w:sz w:val="22"/>
          <w:szCs w:val="22"/>
          <w:lang w:eastAsia="zh-CN"/>
        </w:rPr>
        <w:t>𝐶𝑂</w:t>
      </w:r>
      <w:r w:rsidRPr="0018523B">
        <w:rPr>
          <w:rFonts w:hint="eastAsia"/>
          <w:color w:val="000000"/>
          <w:sz w:val="22"/>
          <w:szCs w:val="22"/>
          <w:vertAlign w:val="subscript"/>
          <w:lang w:eastAsia="zh-CN"/>
        </w:rPr>
        <w:t>2</w:t>
      </w:r>
      <w:r w:rsidRPr="0018523B">
        <w:rPr>
          <w:rFonts w:hint="eastAsia"/>
          <w:color w:val="000000"/>
          <w:sz w:val="22"/>
          <w:szCs w:val="22"/>
          <w:lang w:eastAsia="zh-CN"/>
        </w:rPr>
        <w:t>-brine injection cycle</w:t>
      </w:r>
      <w:r w:rsidR="007654BA">
        <w:rPr>
          <w:rFonts w:hint="eastAsia"/>
          <w:color w:val="000000"/>
          <w:sz w:val="22"/>
          <w:szCs w:val="22"/>
          <w:lang w:eastAsia="zh-CN"/>
        </w:rPr>
        <w:t>.</w:t>
      </w:r>
    </w:p>
    <w:p w14:paraId="1ADAA4F3" w14:textId="77777777" w:rsidR="0018523B" w:rsidRDefault="0018523B" w:rsidP="0018523B">
      <w:pPr>
        <w:pBdr>
          <w:top w:val="nil"/>
          <w:left w:val="nil"/>
          <w:bottom w:val="nil"/>
          <w:right w:val="nil"/>
          <w:between w:val="nil"/>
        </w:pBdr>
        <w:tabs>
          <w:tab w:val="left" w:pos="504"/>
        </w:tabs>
        <w:spacing w:line="240" w:lineRule="auto"/>
        <w:ind w:leftChars="0" w:left="0" w:firstLineChars="0" w:firstLine="0"/>
        <w:jc w:val="both"/>
        <w:rPr>
          <w:rFonts w:hint="eastAsia"/>
          <w:color w:val="000000"/>
          <w:sz w:val="22"/>
          <w:szCs w:val="22"/>
          <w:lang w:eastAsia="zh-CN"/>
        </w:rPr>
      </w:pPr>
    </w:p>
    <w:p w14:paraId="4604E148" w14:textId="09149881" w:rsidR="00706E09" w:rsidRDefault="00672BD9" w:rsidP="00672BD9">
      <w:pPr>
        <w:pBdr>
          <w:top w:val="nil"/>
          <w:left w:val="nil"/>
          <w:bottom w:val="nil"/>
          <w:right w:val="nil"/>
          <w:between w:val="nil"/>
        </w:pBdr>
        <w:tabs>
          <w:tab w:val="left" w:pos="504"/>
        </w:tabs>
        <w:spacing w:line="240" w:lineRule="auto"/>
        <w:ind w:left="0" w:hanging="2"/>
        <w:jc w:val="both"/>
        <w:rPr>
          <w:color w:val="000000"/>
          <w:sz w:val="22"/>
          <w:szCs w:val="22"/>
        </w:rPr>
      </w:pPr>
      <w:r>
        <w:rPr>
          <w:rFonts w:hint="eastAsia"/>
          <w:b/>
          <w:bCs/>
          <w:color w:val="000000"/>
          <w:sz w:val="22"/>
          <w:szCs w:val="22"/>
          <w:lang w:eastAsia="zh-CN"/>
        </w:rPr>
        <w:t xml:space="preserve">Step 5. </w:t>
      </w:r>
      <w:r w:rsidR="009F58B2" w:rsidRPr="00672BD9">
        <w:rPr>
          <w:b/>
          <w:bCs/>
          <w:color w:val="000000"/>
          <w:sz w:val="22"/>
          <w:szCs w:val="22"/>
        </w:rPr>
        <w:t>Effluent sampling &amp; Trace-element analysis:</w:t>
      </w:r>
      <w:r w:rsidR="009F58B2" w:rsidRPr="009F58B2">
        <w:rPr>
          <w:color w:val="000000"/>
          <w:sz w:val="22"/>
          <w:szCs w:val="22"/>
        </w:rPr>
        <w:t xml:space="preserve"> </w:t>
      </w:r>
      <w:r w:rsidRPr="00672BD9">
        <w:rPr>
          <w:color w:val="000000"/>
          <w:sz w:val="22"/>
          <w:szCs w:val="22"/>
        </w:rPr>
        <w:t>Effluent brine is periodically collected during flooding experiments. Sampling frequency is guided by pH variation. Trace-element concentrations are determined using ICP-MS to quantify dissolution–precipitation processes and support permeability evolution analysis.</w:t>
      </w:r>
    </w:p>
    <w:p w14:paraId="735C10EA" w14:textId="1DBEB7F5" w:rsidR="00B022E6" w:rsidRDefault="00B022E6" w:rsidP="00E1392E">
      <w:pPr>
        <w:pBdr>
          <w:top w:val="nil"/>
          <w:left w:val="nil"/>
          <w:bottom w:val="nil"/>
          <w:right w:val="nil"/>
          <w:between w:val="nil"/>
        </w:pBdr>
        <w:tabs>
          <w:tab w:val="left" w:pos="504"/>
        </w:tabs>
        <w:spacing w:line="240" w:lineRule="auto"/>
        <w:ind w:leftChars="0" w:left="0" w:firstLineChars="0" w:firstLine="0"/>
        <w:rPr>
          <w:rFonts w:hint="eastAsia"/>
          <w:b/>
          <w:color w:val="000000"/>
          <w:sz w:val="22"/>
          <w:szCs w:val="22"/>
          <w:lang w:eastAsia="zh-CN"/>
        </w:rPr>
      </w:pPr>
      <w:bookmarkStart w:id="2" w:name="bookmark=id.2et92p0" w:colFirst="0" w:colLast="0"/>
      <w:bookmarkEnd w:id="2"/>
    </w:p>
    <w:p w14:paraId="2E01D90B" w14:textId="369332FE" w:rsidR="00B022E6" w:rsidRPr="0007642A" w:rsidRDefault="00000000" w:rsidP="0007642A">
      <w:pPr>
        <w:pStyle w:val="aff8"/>
        <w:numPr>
          <w:ilvl w:val="0"/>
          <w:numId w:val="6"/>
        </w:numPr>
        <w:pBdr>
          <w:top w:val="nil"/>
          <w:left w:val="nil"/>
          <w:bottom w:val="nil"/>
          <w:right w:val="nil"/>
          <w:between w:val="nil"/>
        </w:pBdr>
        <w:tabs>
          <w:tab w:val="left" w:pos="504"/>
        </w:tabs>
        <w:spacing w:line="240" w:lineRule="auto"/>
        <w:ind w:leftChars="0" w:firstLineChars="0"/>
        <w:rPr>
          <w:b/>
          <w:color w:val="000000"/>
          <w:sz w:val="22"/>
          <w:szCs w:val="22"/>
        </w:rPr>
      </w:pPr>
      <w:bookmarkStart w:id="3" w:name="bookmark=id.4d34og8" w:colFirst="0" w:colLast="0"/>
      <w:bookmarkEnd w:id="3"/>
      <w:r w:rsidRPr="0007642A">
        <w:rPr>
          <w:b/>
          <w:color w:val="000000"/>
          <w:sz w:val="22"/>
          <w:szCs w:val="22"/>
        </w:rPr>
        <w:t>Conclusions</w:t>
      </w:r>
      <w:bookmarkStart w:id="4" w:name="bookmark=id.2s8eyo1" w:colFirst="0" w:colLast="0"/>
      <w:bookmarkEnd w:id="4"/>
    </w:p>
    <w:p w14:paraId="75B34C1D" w14:textId="77777777" w:rsidR="002D5A2D" w:rsidRDefault="002D5A2D" w:rsidP="002D5A2D">
      <w:pPr>
        <w:pBdr>
          <w:top w:val="nil"/>
          <w:left w:val="nil"/>
          <w:bottom w:val="nil"/>
          <w:right w:val="nil"/>
          <w:between w:val="nil"/>
        </w:pBdr>
        <w:tabs>
          <w:tab w:val="left" w:pos="504"/>
        </w:tabs>
        <w:spacing w:line="240" w:lineRule="auto"/>
        <w:ind w:leftChars="0" w:left="0" w:firstLineChars="0" w:firstLine="0"/>
        <w:jc w:val="both"/>
        <w:rPr>
          <w:rFonts w:hint="eastAsia"/>
          <w:color w:val="000000"/>
          <w:sz w:val="22"/>
          <w:szCs w:val="22"/>
          <w:lang w:eastAsia="zh-CN"/>
        </w:rPr>
      </w:pPr>
    </w:p>
    <w:p w14:paraId="50B97F55" w14:textId="155743DF" w:rsidR="00B022E6" w:rsidRDefault="002D5A2D" w:rsidP="002D5A2D">
      <w:pPr>
        <w:pBdr>
          <w:top w:val="nil"/>
          <w:left w:val="nil"/>
          <w:bottom w:val="nil"/>
          <w:right w:val="nil"/>
          <w:between w:val="nil"/>
        </w:pBdr>
        <w:tabs>
          <w:tab w:val="left" w:pos="504"/>
        </w:tabs>
        <w:spacing w:line="240" w:lineRule="auto"/>
        <w:ind w:left="0" w:hanging="2"/>
        <w:jc w:val="both"/>
        <w:rPr>
          <w:b/>
          <w:color w:val="000000"/>
          <w:sz w:val="22"/>
          <w:szCs w:val="22"/>
        </w:rPr>
      </w:pPr>
      <w:r w:rsidRPr="002D5A2D">
        <w:rPr>
          <w:color w:val="000000"/>
          <w:sz w:val="22"/>
          <w:szCs w:val="22"/>
          <w:lang w:eastAsia="zh-CN"/>
        </w:rPr>
        <w:t xml:space="preserve">This study establishes an experimental framework to evaluate sandstone matrix permeability evolution under cyclic CO₂–saline injection. Core samples are first characterized through brine flooding to determine intrinsic permeability, followed by inert N₂ injection to establish a mechanical baseline prior to reactive CO₂ cycles. Combined with stress-dependent loading, mineral reactivity assessment, and trace-element analysis of effluent fluids, the framework enables systematic differentiation between mechanical pore-structure alteration, CO₂-driven chemical reactions, and salt precipitation effects. </w:t>
      </w:r>
      <w:r w:rsidR="00E1392E" w:rsidRPr="00E1392E">
        <w:rPr>
          <w:color w:val="000000"/>
          <w:sz w:val="22"/>
          <w:szCs w:val="22"/>
          <w:lang w:eastAsia="zh-CN"/>
        </w:rPr>
        <w:t>Preliminary observations suggest that salinity-dependent precipitation may induce partially irreversible permeability reduction under cyclic injection.</w:t>
      </w:r>
      <w:r w:rsidR="00E1392E">
        <w:rPr>
          <w:rFonts w:hint="eastAsia"/>
          <w:color w:val="000000"/>
          <w:sz w:val="22"/>
          <w:szCs w:val="22"/>
          <w:lang w:eastAsia="zh-CN"/>
        </w:rPr>
        <w:t xml:space="preserve"> </w:t>
      </w:r>
      <w:r w:rsidRPr="002D5A2D">
        <w:rPr>
          <w:color w:val="000000"/>
          <w:sz w:val="22"/>
          <w:szCs w:val="22"/>
          <w:lang w:eastAsia="zh-CN"/>
        </w:rPr>
        <w:t>The results provide experimental insights into injectivity impairment mechanisms in high-salinity formations and support improved evaluation of long-term CO₂ storage performance.</w:t>
      </w:r>
    </w:p>
    <w:p w14:paraId="796080BA" w14:textId="77777777" w:rsidR="00B022E6" w:rsidRDefault="00B022E6" w:rsidP="00E1392E">
      <w:pPr>
        <w:pBdr>
          <w:top w:val="nil"/>
          <w:left w:val="nil"/>
          <w:bottom w:val="nil"/>
          <w:right w:val="nil"/>
          <w:between w:val="nil"/>
        </w:pBdr>
        <w:tabs>
          <w:tab w:val="left" w:pos="504"/>
        </w:tabs>
        <w:spacing w:line="240" w:lineRule="auto"/>
        <w:ind w:leftChars="0" w:left="0" w:firstLineChars="0" w:firstLine="0"/>
        <w:rPr>
          <w:rFonts w:hint="eastAsia"/>
          <w:b/>
          <w:color w:val="000000"/>
          <w:sz w:val="22"/>
          <w:szCs w:val="22"/>
          <w:lang w:eastAsia="zh-CN"/>
        </w:rPr>
      </w:pPr>
    </w:p>
    <w:p w14:paraId="063750A4" w14:textId="77777777" w:rsidR="00B022E6" w:rsidRDefault="00000000">
      <w:pPr>
        <w:pBdr>
          <w:top w:val="nil"/>
          <w:left w:val="nil"/>
          <w:bottom w:val="nil"/>
          <w:right w:val="nil"/>
          <w:between w:val="nil"/>
        </w:pBdr>
        <w:tabs>
          <w:tab w:val="left" w:pos="504"/>
        </w:tabs>
        <w:spacing w:line="240" w:lineRule="auto"/>
        <w:ind w:left="0" w:hanging="2"/>
        <w:rPr>
          <w:b/>
          <w:color w:val="000000"/>
          <w:sz w:val="22"/>
          <w:szCs w:val="22"/>
        </w:rPr>
      </w:pPr>
      <w:r>
        <w:rPr>
          <w:b/>
          <w:color w:val="000000"/>
          <w:sz w:val="22"/>
          <w:szCs w:val="22"/>
        </w:rPr>
        <w:t>References</w:t>
      </w:r>
    </w:p>
    <w:p w14:paraId="4455EB66" w14:textId="333F19F2" w:rsidR="00B022E6" w:rsidRDefault="00B022E6" w:rsidP="00E1392E">
      <w:pPr>
        <w:ind w:left="0" w:hanging="2"/>
        <w:jc w:val="both"/>
        <w:rPr>
          <w:sz w:val="22"/>
          <w:szCs w:val="22"/>
        </w:rPr>
      </w:pPr>
    </w:p>
    <w:p w14:paraId="2E8BF302" w14:textId="6ADFC124" w:rsidR="005A075F" w:rsidRDefault="005A075F" w:rsidP="005A075F">
      <w:pPr>
        <w:pStyle w:val="aff8"/>
        <w:numPr>
          <w:ilvl w:val="0"/>
          <w:numId w:val="8"/>
        </w:numPr>
        <w:ind w:leftChars="0" w:firstLineChars="0"/>
        <w:jc w:val="both"/>
        <w:rPr>
          <w:sz w:val="22"/>
          <w:szCs w:val="22"/>
          <w:lang w:eastAsia="zh-CN"/>
        </w:rPr>
      </w:pPr>
      <w:r w:rsidRPr="005A075F">
        <w:rPr>
          <w:sz w:val="22"/>
          <w:szCs w:val="22"/>
          <w:lang w:eastAsia="zh-CN"/>
        </w:rPr>
        <w:t xml:space="preserve">Nooraiepour, M., Krzysztof Polański, Masoudi, M., Szymon Kuczyński, Derluyn, H., Nogueira, L.P., Bahman Bohloli, Nagy, S. and Helge Hellevang (2024). Potential for 50% Mechanical </w:t>
      </w:r>
      <w:r w:rsidRPr="005A075F">
        <w:rPr>
          <w:sz w:val="22"/>
          <w:szCs w:val="22"/>
          <w:lang w:eastAsia="zh-CN"/>
        </w:rPr>
        <w:lastRenderedPageBreak/>
        <w:t xml:space="preserve">Strength Decline in Sandstone Reservoirs Due to Salt Precipitation and CO2–Brine Interactions During Carbon Sequestration. </w:t>
      </w:r>
      <w:r w:rsidRPr="005A075F">
        <w:rPr>
          <w:i/>
          <w:iCs/>
          <w:sz w:val="22"/>
          <w:szCs w:val="22"/>
          <w:lang w:eastAsia="zh-CN"/>
        </w:rPr>
        <w:t>Rock Mechanics and Rock Engineering</w:t>
      </w:r>
      <w:r w:rsidRPr="005A075F">
        <w:rPr>
          <w:sz w:val="22"/>
          <w:szCs w:val="22"/>
          <w:lang w:eastAsia="zh-CN"/>
        </w:rPr>
        <w:t>. doi:https://doi.org/10.1007/s00603-024-04223-8.</w:t>
      </w:r>
    </w:p>
    <w:p w14:paraId="000C9535" w14:textId="77777777" w:rsidR="000A7972" w:rsidRDefault="000A7972" w:rsidP="000A7972">
      <w:pPr>
        <w:pStyle w:val="aff8"/>
        <w:ind w:leftChars="0" w:left="360" w:firstLineChars="0" w:firstLine="0"/>
        <w:jc w:val="both"/>
        <w:rPr>
          <w:rFonts w:hint="eastAsia"/>
          <w:sz w:val="22"/>
          <w:szCs w:val="22"/>
          <w:lang w:eastAsia="zh-CN"/>
        </w:rPr>
      </w:pPr>
    </w:p>
    <w:p w14:paraId="41B426BC" w14:textId="7F15A49D" w:rsidR="005A075F" w:rsidRDefault="000A7972" w:rsidP="000A7972">
      <w:pPr>
        <w:pStyle w:val="aff8"/>
        <w:numPr>
          <w:ilvl w:val="0"/>
          <w:numId w:val="8"/>
        </w:numPr>
        <w:ind w:leftChars="0" w:firstLineChars="0"/>
        <w:jc w:val="both"/>
        <w:rPr>
          <w:sz w:val="22"/>
          <w:szCs w:val="22"/>
          <w:lang w:eastAsia="zh-CN"/>
        </w:rPr>
      </w:pPr>
      <w:r w:rsidRPr="000A7972">
        <w:rPr>
          <w:sz w:val="22"/>
          <w:szCs w:val="22"/>
          <w:lang w:eastAsia="zh-CN"/>
        </w:rPr>
        <w:t>Kou, Z., Wang, H., Alvarado, V., Nye, C., Bagdonas, D.A., McLaughlin, J.L. and Quillinan, S. (2022). Effects of Carbonic Acid-Rock Interactions on CO2/Brine Multiphase Flow Properties in the Upper Minnelusa Sandstones. pp.1–14. doi:https://doi.org/10.2118/212272-pa.</w:t>
      </w:r>
    </w:p>
    <w:p w14:paraId="6B91DDE2" w14:textId="77777777" w:rsidR="000A7972" w:rsidRPr="000A7972" w:rsidRDefault="000A7972" w:rsidP="000A7972">
      <w:pPr>
        <w:pStyle w:val="aff8"/>
        <w:ind w:left="-2" w:firstLine="440"/>
        <w:rPr>
          <w:rFonts w:hint="eastAsia"/>
          <w:sz w:val="22"/>
          <w:szCs w:val="22"/>
          <w:lang w:eastAsia="zh-CN"/>
        </w:rPr>
      </w:pPr>
    </w:p>
    <w:p w14:paraId="7F333C01" w14:textId="77777777" w:rsidR="000A7972" w:rsidRPr="000A7972" w:rsidRDefault="000A7972" w:rsidP="000A7972">
      <w:pPr>
        <w:pStyle w:val="aff8"/>
        <w:ind w:leftChars="0" w:left="360" w:firstLineChars="0" w:firstLine="0"/>
        <w:jc w:val="both"/>
        <w:rPr>
          <w:rFonts w:hint="eastAsia"/>
          <w:sz w:val="22"/>
          <w:szCs w:val="22"/>
          <w:lang w:eastAsia="zh-CN"/>
        </w:rPr>
      </w:pPr>
    </w:p>
    <w:p w14:paraId="596193AE" w14:textId="5FEEF7CC" w:rsidR="005A075F" w:rsidRPr="005A075F" w:rsidRDefault="005A075F" w:rsidP="005A075F">
      <w:pPr>
        <w:pStyle w:val="aff8"/>
        <w:numPr>
          <w:ilvl w:val="0"/>
          <w:numId w:val="8"/>
        </w:numPr>
        <w:ind w:leftChars="0" w:firstLineChars="0"/>
        <w:jc w:val="both"/>
        <w:rPr>
          <w:sz w:val="22"/>
          <w:szCs w:val="22"/>
          <w:lang w:eastAsia="zh-CN"/>
        </w:rPr>
      </w:pPr>
      <w:r w:rsidRPr="005A075F">
        <w:rPr>
          <w:sz w:val="22"/>
          <w:szCs w:val="22"/>
          <w:lang w:eastAsia="zh-CN"/>
        </w:rPr>
        <w:t>Cui, G., Hu, Z., Ning, F., Jiang, S. and Wang, R. (2022). A review of salt precipitation during CO2 injection into saline aquifers and its potential impact on carbon sequestration projects in China. </w:t>
      </w:r>
      <w:r w:rsidRPr="005A075F">
        <w:rPr>
          <w:i/>
          <w:iCs/>
          <w:sz w:val="22"/>
          <w:szCs w:val="22"/>
          <w:lang w:eastAsia="zh-CN"/>
        </w:rPr>
        <w:t>Fuel</w:t>
      </w:r>
      <w:r w:rsidRPr="005A075F">
        <w:rPr>
          <w:sz w:val="22"/>
          <w:szCs w:val="22"/>
          <w:lang w:eastAsia="zh-CN"/>
        </w:rPr>
        <w:t>, 334, pp.126615–126615. doi:https://doi.org/10.1016/j.fuel.2022.126615.</w:t>
      </w:r>
    </w:p>
    <w:p w14:paraId="0F6B6091" w14:textId="20DDA833" w:rsidR="005A075F" w:rsidRPr="000A7972" w:rsidRDefault="005A075F" w:rsidP="000A7972">
      <w:pPr>
        <w:ind w:leftChars="0" w:left="360" w:firstLineChars="0" w:firstLine="0"/>
        <w:jc w:val="both"/>
        <w:rPr>
          <w:rFonts w:hint="eastAsia"/>
          <w:sz w:val="22"/>
          <w:szCs w:val="22"/>
          <w:lang w:eastAsia="zh-CN"/>
        </w:rPr>
      </w:pPr>
    </w:p>
    <w:p w14:paraId="3C0A6D6B" w14:textId="2CE81773" w:rsidR="005A075F" w:rsidRDefault="000A7972" w:rsidP="005A075F">
      <w:pPr>
        <w:pStyle w:val="aff8"/>
        <w:numPr>
          <w:ilvl w:val="0"/>
          <w:numId w:val="8"/>
        </w:numPr>
        <w:ind w:leftChars="0" w:firstLineChars="0"/>
        <w:jc w:val="both"/>
        <w:rPr>
          <w:sz w:val="22"/>
          <w:szCs w:val="22"/>
          <w:lang w:eastAsia="zh-CN"/>
        </w:rPr>
      </w:pPr>
      <w:r w:rsidRPr="000A7972">
        <w:rPr>
          <w:sz w:val="22"/>
          <w:szCs w:val="22"/>
          <w:lang w:eastAsia="zh-CN"/>
        </w:rPr>
        <w:t xml:space="preserve">Hashemi, S.S., Kovscek, A.R. and Zoback, M.D. </w:t>
      </w:r>
      <w:r>
        <w:rPr>
          <w:rFonts w:hint="eastAsia"/>
          <w:sz w:val="22"/>
          <w:szCs w:val="22"/>
          <w:lang w:eastAsia="zh-CN"/>
        </w:rPr>
        <w:t>(</w:t>
      </w:r>
      <w:r w:rsidRPr="000A7972">
        <w:rPr>
          <w:sz w:val="22"/>
          <w:szCs w:val="22"/>
          <w:lang w:eastAsia="zh-CN"/>
        </w:rPr>
        <w:t>2022</w:t>
      </w:r>
      <w:r>
        <w:rPr>
          <w:rFonts w:hint="eastAsia"/>
          <w:sz w:val="22"/>
          <w:szCs w:val="22"/>
          <w:lang w:eastAsia="zh-CN"/>
        </w:rPr>
        <w:t>)</w:t>
      </w:r>
      <w:r w:rsidRPr="000A7972">
        <w:rPr>
          <w:sz w:val="22"/>
          <w:szCs w:val="22"/>
          <w:lang w:eastAsia="zh-CN"/>
        </w:rPr>
        <w:t xml:space="preserve">, September. Effect of supercritical CO2 on the poroelastic characteristics of poorly cemented sandstone reservoirs during depletion and injection. </w:t>
      </w:r>
      <w:r w:rsidRPr="000A7972">
        <w:rPr>
          <w:i/>
          <w:iCs/>
          <w:sz w:val="22"/>
          <w:szCs w:val="22"/>
          <w:lang w:eastAsia="zh-CN"/>
        </w:rPr>
        <w:t>In SPE Annual Technical Conference and Exhibition</w:t>
      </w:r>
      <w:r w:rsidRPr="000A7972">
        <w:rPr>
          <w:sz w:val="22"/>
          <w:szCs w:val="22"/>
          <w:lang w:eastAsia="zh-CN"/>
        </w:rPr>
        <w:t xml:space="preserve"> (p. D011S011R005). SPE.</w:t>
      </w:r>
    </w:p>
    <w:p w14:paraId="41459DF3" w14:textId="5DA027D1" w:rsidR="00351A74" w:rsidRPr="00351A74" w:rsidRDefault="00351A74" w:rsidP="00351A74">
      <w:pPr>
        <w:ind w:leftChars="0" w:left="0" w:firstLineChars="0" w:firstLine="0"/>
        <w:jc w:val="both"/>
        <w:rPr>
          <w:rFonts w:hint="eastAsia"/>
          <w:sz w:val="22"/>
          <w:szCs w:val="22"/>
          <w:lang w:eastAsia="zh-CN"/>
        </w:rPr>
      </w:pPr>
    </w:p>
    <w:sectPr w:rsidR="00351A74" w:rsidRPr="00351A74">
      <w:headerReference w:type="even" r:id="rId9"/>
      <w:headerReference w:type="default" r:id="rId10"/>
      <w:footerReference w:type="even" r:id="rId11"/>
      <w:footerReference w:type="default" r:id="rId12"/>
      <w:headerReference w:type="first" r:id="rId13"/>
      <w:footerReference w:type="first" r:id="rId14"/>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586C0" w14:textId="77777777" w:rsidR="00C07EB4" w:rsidRDefault="00C07EB4">
      <w:pPr>
        <w:spacing w:line="240" w:lineRule="auto"/>
        <w:ind w:left="0" w:hanging="2"/>
      </w:pPr>
      <w:r>
        <w:separator/>
      </w:r>
    </w:p>
  </w:endnote>
  <w:endnote w:type="continuationSeparator" w:id="0">
    <w:p w14:paraId="24F5B325" w14:textId="77777777" w:rsidR="00C07EB4" w:rsidRDefault="00C07EB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126E" w14:textId="77777777" w:rsidR="00B022E6" w:rsidRDefault="00B022E6">
    <w:pPr>
      <w:pBdr>
        <w:top w:val="single" w:sz="6" w:space="1" w:color="000000"/>
        <w:left w:val="nil"/>
        <w:bottom w:val="nil"/>
        <w:right w:val="nil"/>
        <w:between w:val="nil"/>
      </w:pBdr>
      <w:tabs>
        <w:tab w:val="center" w:pos="4703"/>
        <w:tab w:val="right" w:pos="9406"/>
      </w:tabs>
      <w:spacing w:line="240" w:lineRule="auto"/>
      <w:ind w:left="0" w:hanging="2"/>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34BAC" w14:textId="77777777" w:rsidR="007122C7" w:rsidRDefault="007122C7" w:rsidP="007122C7">
    <w:pPr>
      <w:pBdr>
        <w:top w:val="nil"/>
        <w:left w:val="nil"/>
        <w:bottom w:val="single" w:sz="6" w:space="1" w:color="000000"/>
        <w:right w:val="nil"/>
        <w:between w:val="nil"/>
      </w:pBdr>
      <w:tabs>
        <w:tab w:val="center" w:pos="4703"/>
        <w:tab w:val="right" w:pos="9406"/>
      </w:tabs>
      <w:spacing w:line="240" w:lineRule="auto"/>
      <w:ind w:left="0" w:hanging="2"/>
      <w:jc w:val="center"/>
      <w:rPr>
        <w:color w:val="000000"/>
        <w:sz w:val="20"/>
        <w:szCs w:val="20"/>
      </w:rPr>
    </w:pPr>
  </w:p>
  <w:p w14:paraId="0B8355CA" w14:textId="22AEBA68" w:rsidR="00B022E6" w:rsidRPr="007122C7" w:rsidRDefault="00F70A4E" w:rsidP="007122C7">
    <w:pPr>
      <w:pBdr>
        <w:top w:val="nil"/>
        <w:left w:val="nil"/>
        <w:bottom w:val="nil"/>
        <w:right w:val="nil"/>
        <w:between w:val="nil"/>
      </w:pBdr>
      <w:tabs>
        <w:tab w:val="center" w:pos="4703"/>
        <w:tab w:val="right" w:pos="9406"/>
      </w:tabs>
      <w:spacing w:line="240" w:lineRule="auto"/>
      <w:ind w:left="0" w:hanging="2"/>
      <w:jc w:val="center"/>
      <w:rPr>
        <w:sz w:val="20"/>
        <w:szCs w:val="20"/>
      </w:rPr>
    </w:pPr>
    <w:r>
      <w:rPr>
        <w:sz w:val="20"/>
        <w:szCs w:val="20"/>
      </w:rPr>
      <w:t xml:space="preserve">World CCUS Conference </w:t>
    </w:r>
    <w:r w:rsidR="00157344">
      <w:rPr>
        <w:sz w:val="20"/>
        <w:szCs w:val="20"/>
      </w:rPr>
      <w:t>2026</w:t>
    </w:r>
    <w:r w:rsidR="007122C7">
      <w:rPr>
        <w:color w:val="FF0000"/>
        <w:sz w:val="20"/>
        <w:szCs w:val="20"/>
      </w:rPr>
      <w:br/>
    </w:r>
    <w:r w:rsidR="00157344">
      <w:rPr>
        <w:sz w:val="20"/>
        <w:szCs w:val="20"/>
      </w:rPr>
      <w:t>September</w:t>
    </w:r>
    <w:r w:rsidR="00157344" w:rsidRPr="00157344">
      <w:rPr>
        <w:sz w:val="20"/>
        <w:szCs w:val="20"/>
      </w:rPr>
      <w:t xml:space="preserve"> 202</w:t>
    </w:r>
    <w:r w:rsidR="00157344">
      <w:rPr>
        <w:sz w:val="20"/>
        <w:szCs w:val="20"/>
      </w:rPr>
      <w:t>6</w:t>
    </w:r>
    <w:r w:rsidR="00157344" w:rsidRPr="00157344">
      <w:rPr>
        <w:sz w:val="20"/>
        <w:szCs w:val="20"/>
      </w:rPr>
      <w:t>,</w:t>
    </w:r>
    <w:r w:rsidR="0094179F">
      <w:rPr>
        <w:sz w:val="20"/>
        <w:szCs w:val="20"/>
      </w:rPr>
      <w:t xml:space="preserve"> Edinburgh,</w:t>
    </w:r>
    <w:r w:rsidR="00157344" w:rsidRPr="00157344">
      <w:rPr>
        <w:sz w:val="20"/>
        <w:szCs w:val="20"/>
      </w:rPr>
      <w:t xml:space="preserve"> United Kingdom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B52D" w14:textId="77777777" w:rsidR="00B022E6" w:rsidRDefault="00B022E6">
    <w:pPr>
      <w:pBdr>
        <w:top w:val="nil"/>
        <w:left w:val="nil"/>
        <w:bottom w:val="nil"/>
        <w:right w:val="nil"/>
        <w:between w:val="nil"/>
      </w:pBdr>
      <w:tabs>
        <w:tab w:val="center" w:pos="4703"/>
        <w:tab w:val="right" w:pos="940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95D78" w14:textId="77777777" w:rsidR="00C07EB4" w:rsidRDefault="00C07EB4">
      <w:pPr>
        <w:spacing w:line="240" w:lineRule="auto"/>
        <w:ind w:left="0" w:hanging="2"/>
      </w:pPr>
      <w:r>
        <w:separator/>
      </w:r>
    </w:p>
  </w:footnote>
  <w:footnote w:type="continuationSeparator" w:id="0">
    <w:p w14:paraId="0A042ED6" w14:textId="77777777" w:rsidR="00C07EB4" w:rsidRDefault="00C07EB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008B3" w14:textId="77777777" w:rsidR="00B022E6" w:rsidRDefault="00000000">
    <w:pPr>
      <w:pBdr>
        <w:top w:val="nil"/>
        <w:left w:val="nil"/>
        <w:bottom w:val="nil"/>
        <w:right w:val="nil"/>
        <w:between w:val="nil"/>
      </w:pBdr>
      <w:tabs>
        <w:tab w:val="center" w:pos="4703"/>
        <w:tab w:val="right" w:pos="9406"/>
      </w:tabs>
      <w:spacing w:line="240" w:lineRule="auto"/>
      <w:ind w:left="0" w:hanging="2"/>
      <w:jc w:val="right"/>
      <w:rPr>
        <w:color w:val="000000"/>
        <w:sz w:val="12"/>
        <w:szCs w:val="12"/>
      </w:rPr>
    </w:pPr>
    <w:r>
      <w:rPr>
        <w:noProof/>
      </w:rPr>
      <mc:AlternateContent>
        <mc:Choice Requires="wpg">
          <w:drawing>
            <wp:anchor distT="0" distB="0" distL="114300" distR="114300" simplePos="0" relativeHeight="251659264" behindDoc="0" locked="0" layoutInCell="1" hidden="0" allowOverlap="1" wp14:anchorId="10093CA9" wp14:editId="4D68E873">
              <wp:simplePos x="0" y="0"/>
              <wp:positionH relativeFrom="column">
                <wp:posOffset>38101</wp:posOffset>
              </wp:positionH>
              <wp:positionV relativeFrom="paragraph">
                <wp:posOffset>0</wp:posOffset>
              </wp:positionV>
              <wp:extent cx="1321435" cy="306070"/>
              <wp:effectExtent l="0" t="0" r="0" b="0"/>
              <wp:wrapNone/>
              <wp:docPr id="1036" name="Group 1036"/>
              <wp:cNvGraphicFramePr/>
              <a:graphic xmlns:a="http://schemas.openxmlformats.org/drawingml/2006/main">
                <a:graphicData uri="http://schemas.microsoft.com/office/word/2010/wordprocessingGroup">
                  <wpg:wgp>
                    <wpg:cNvGrpSpPr/>
                    <wpg:grpSpPr>
                      <a:xfrm>
                        <a:off x="0" y="0"/>
                        <a:ext cx="1321435" cy="306070"/>
                        <a:chOff x="4685275" y="3626950"/>
                        <a:chExt cx="1321450" cy="306100"/>
                      </a:xfrm>
                    </wpg:grpSpPr>
                    <wpg:grpSp>
                      <wpg:cNvPr id="1299828191" name="Group 1299828191"/>
                      <wpg:cNvGrpSpPr/>
                      <wpg:grpSpPr>
                        <a:xfrm>
                          <a:off x="4685283" y="3626965"/>
                          <a:ext cx="1321435" cy="306070"/>
                          <a:chOff x="4685283" y="3626965"/>
                          <a:chExt cx="1321435" cy="306070"/>
                        </a:xfrm>
                      </wpg:grpSpPr>
                      <wps:wsp>
                        <wps:cNvPr id="301476027" name="Rectangle 301476027"/>
                        <wps:cNvSpPr/>
                        <wps:spPr>
                          <a:xfrm>
                            <a:off x="4685283" y="3626965"/>
                            <a:ext cx="1321425" cy="306050"/>
                          </a:xfrm>
                          <a:prstGeom prst="rect">
                            <a:avLst/>
                          </a:prstGeom>
                          <a:noFill/>
                          <a:ln>
                            <a:noFill/>
                          </a:ln>
                        </wps:spPr>
                        <wps:txbx>
                          <w:txbxContent>
                            <w:p w14:paraId="67E0368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429098456" name="Group 1429098456"/>
                        <wpg:cNvGrpSpPr/>
                        <wpg:grpSpPr>
                          <a:xfrm>
                            <a:off x="4685283" y="3626965"/>
                            <a:ext cx="1321435" cy="306070"/>
                            <a:chOff x="4685283" y="3626965"/>
                            <a:chExt cx="1321435" cy="306070"/>
                          </a:xfrm>
                        </wpg:grpSpPr>
                        <wps:wsp>
                          <wps:cNvPr id="1310071024" name="Rectangle 1310071024"/>
                          <wps:cNvSpPr/>
                          <wps:spPr>
                            <a:xfrm>
                              <a:off x="4685283" y="3626965"/>
                              <a:ext cx="1321425" cy="306050"/>
                            </a:xfrm>
                            <a:prstGeom prst="rect">
                              <a:avLst/>
                            </a:prstGeom>
                            <a:noFill/>
                            <a:ln>
                              <a:noFill/>
                            </a:ln>
                          </wps:spPr>
                          <wps:txbx>
                            <w:txbxContent>
                              <w:p w14:paraId="24BED48E"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447139859" name="Group 447139859"/>
                          <wpg:cNvGrpSpPr/>
                          <wpg:grpSpPr>
                            <a:xfrm>
                              <a:off x="4685283" y="3626965"/>
                              <a:ext cx="1321435" cy="306070"/>
                              <a:chOff x="4685283" y="3625945"/>
                              <a:chExt cx="1322453" cy="307090"/>
                            </a:xfrm>
                          </wpg:grpSpPr>
                          <wps:wsp>
                            <wps:cNvPr id="211898892" name="Rectangle 211898892"/>
                            <wps:cNvSpPr/>
                            <wps:spPr>
                              <a:xfrm>
                                <a:off x="4685283" y="3625945"/>
                                <a:ext cx="1322450" cy="307075"/>
                              </a:xfrm>
                              <a:prstGeom prst="rect">
                                <a:avLst/>
                              </a:prstGeom>
                              <a:noFill/>
                              <a:ln>
                                <a:noFill/>
                              </a:ln>
                            </wps:spPr>
                            <wps:txbx>
                              <w:txbxContent>
                                <w:p w14:paraId="6C9CBC7A"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cNvPr id="1930734344" name="Group 1930734344"/>
                            <wpg:cNvGrpSpPr/>
                            <wpg:grpSpPr>
                              <a:xfrm>
                                <a:off x="4685283" y="3625945"/>
                                <a:ext cx="1322453" cy="307090"/>
                                <a:chOff x="0" y="-6"/>
                                <a:chExt cx="7791" cy="1806"/>
                              </a:xfrm>
                            </wpg:grpSpPr>
                            <wps:wsp>
                              <wps:cNvPr id="198755364" name="Rectangle 198755364"/>
                              <wps:cNvSpPr/>
                              <wps:spPr>
                                <a:xfrm>
                                  <a:off x="0" y="0"/>
                                  <a:ext cx="7775" cy="1800"/>
                                </a:xfrm>
                                <a:prstGeom prst="rect">
                                  <a:avLst/>
                                </a:prstGeom>
                                <a:noFill/>
                                <a:ln>
                                  <a:noFill/>
                                </a:ln>
                              </wps:spPr>
                              <wps:txbx>
                                <w:txbxContent>
                                  <w:p w14:paraId="5C6B660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440779570" name="Rectangle 440779570"/>
                              <wps:cNvSpPr/>
                              <wps:spPr>
                                <a:xfrm>
                                  <a:off x="0" y="0"/>
                                  <a:ext cx="7785" cy="1800"/>
                                </a:xfrm>
                                <a:prstGeom prst="rect">
                                  <a:avLst/>
                                </a:prstGeom>
                                <a:noFill/>
                                <a:ln>
                                  <a:noFill/>
                                </a:ln>
                              </wps:spPr>
                              <wps:txbx>
                                <w:txbxContent>
                                  <w:p w14:paraId="76E6E300"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83022907" name="Freeform 1683022907"/>
                              <wps:cNvSpPr/>
                              <wps:spPr>
                                <a:xfrm>
                                  <a:off x="0" y="30"/>
                                  <a:ext cx="1791" cy="1735"/>
                                </a:xfrm>
                                <a:custGeom>
                                  <a:avLst/>
                                  <a:gdLst/>
                                  <a:ahLst/>
                                  <a:cxnLst/>
                                  <a:rect l="l" t="t" r="r" b="b"/>
                                  <a:pathLst>
                                    <a:path w="303" h="295" extrusionOk="0">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wps:spPr>
                              <wps:txbx>
                                <w:txbxContent>
                                  <w:p w14:paraId="07EC9767"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143365161" name="Freeform 1143365161"/>
                              <wps:cNvSpPr/>
                              <wps:spPr>
                                <a:xfrm>
                                  <a:off x="1856" y="30"/>
                                  <a:ext cx="1962" cy="1735"/>
                                </a:xfrm>
                                <a:custGeom>
                                  <a:avLst/>
                                  <a:gdLst/>
                                  <a:ahLst/>
                                  <a:cxnLst/>
                                  <a:rect l="l" t="t" r="r" b="b"/>
                                  <a:pathLst>
                                    <a:path w="332" h="295" extrusionOk="0">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wps:spPr>
                              <wps:txbx>
                                <w:txbxContent>
                                  <w:p w14:paraId="2CCB41B9"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1668909776" name="Freeform 1668909776"/>
                              <wps:cNvSpPr/>
                              <wps:spPr>
                                <a:xfrm>
                                  <a:off x="3895" y="-6"/>
                                  <a:ext cx="1980" cy="1806"/>
                                </a:xfrm>
                                <a:custGeom>
                                  <a:avLst/>
                                  <a:gdLst/>
                                  <a:ahLst/>
                                  <a:cxnLst/>
                                  <a:rect l="l" t="t" r="r" b="b"/>
                                  <a:pathLst>
                                    <a:path w="335" h="307" extrusionOk="0">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wps:spPr>
                              <wps:txbx>
                                <w:txbxContent>
                                  <w:p w14:paraId="334326CE" w14:textId="77777777" w:rsidR="00B022E6" w:rsidRDefault="00B022E6">
                                    <w:pPr>
                                      <w:spacing w:line="240" w:lineRule="auto"/>
                                      <w:ind w:left="0" w:hanging="2"/>
                                    </w:pPr>
                                  </w:p>
                                </w:txbxContent>
                              </wps:txbx>
                              <wps:bodyPr spcFirstLastPara="1" wrap="square" lIns="91425" tIns="91425" rIns="91425" bIns="91425" anchor="ctr" anchorCtr="0">
                                <a:noAutofit/>
                              </wps:bodyPr>
                            </wps:wsp>
                            <wps:wsp>
                              <wps:cNvPr id="530978552" name="Freeform 530978552"/>
                              <wps:cNvSpPr/>
                              <wps:spPr>
                                <a:xfrm>
                                  <a:off x="6000" y="30"/>
                                  <a:ext cx="1791" cy="1735"/>
                                </a:xfrm>
                                <a:custGeom>
                                  <a:avLst/>
                                  <a:gdLst/>
                                  <a:ahLst/>
                                  <a:cxnLst/>
                                  <a:rect l="l" t="t" r="r" b="b"/>
                                  <a:pathLst>
                                    <a:path w="303" h="295" extrusionOk="0">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wps:spPr>
                              <wps:txbx>
                                <w:txbxContent>
                                  <w:p w14:paraId="24F702D2" w14:textId="77777777" w:rsidR="00B022E6" w:rsidRDefault="00B022E6">
                                    <w:pPr>
                                      <w:spacing w:line="240" w:lineRule="auto"/>
                                      <w:ind w:left="0" w:hanging="2"/>
                                    </w:pPr>
                                  </w:p>
                                </w:txbxContent>
                              </wps:txbx>
                              <wps:bodyPr spcFirstLastPara="1" wrap="square" lIns="91425" tIns="91425" rIns="91425" bIns="91425" anchor="ctr" anchorCtr="0">
                                <a:noAutofit/>
                              </wps:bodyPr>
                            </wps:wsp>
                          </wpg:grpSp>
                        </wpg:grpSp>
                      </wpg:grpSp>
                    </wpg:grpSp>
                  </wpg:wgp>
                </a:graphicData>
              </a:graphic>
            </wp:anchor>
          </w:drawing>
        </mc:Choice>
        <mc:Fallback>
          <w:pict>
            <v:group w14:anchorId="10093CA9" id="Group 1036" o:spid="_x0000_s1026" style="position:absolute;left:0;text-align:left;margin-left:3pt;margin-top:0;width:104.05pt;height:24.1pt;z-index:251659264" coordorigin="46852,36269" coordsize="13214,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">
              <v:group id="Group 1299828191" o:spid="_x0000_s1027"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">
                <v:rect id="Rectangle 301476027" o:spid="_x0000_s1028"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" filled="f" stroked="f">
                  <v:textbox inset="2.53958mm,2.53958mm,2.53958mm,2.53958mm">
                    <w:txbxContent>
                      <w:p w14:paraId="67E03682" w14:textId="77777777" w:rsidR="00B022E6" w:rsidRDefault="00B022E6">
                        <w:pPr>
                          <w:spacing w:line="240" w:lineRule="auto"/>
                          <w:ind w:left="0" w:hanging="2"/>
                        </w:pPr>
                      </w:p>
                    </w:txbxContent>
                  </v:textbox>
                </v:rect>
                <v:group id="Group 1429098456" o:spid="_x0000_s1029" style="position:absolute;left:46852;top:36269;width:13215;height:3061" coordorigin="46852,36269" coordsize="13214,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">
                  <v:rect id="Rectangle 1310071024" o:spid="_x0000_s1030" style="position:absolute;left:46852;top:36269;width:13215;height:30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" filled="f" stroked="f">
                    <v:textbox inset="2.53958mm,2.53958mm,2.53958mm,2.53958mm">
                      <w:txbxContent>
                        <w:p w14:paraId="24BED48E" w14:textId="77777777" w:rsidR="00B022E6" w:rsidRDefault="00B022E6">
                          <w:pPr>
                            <w:spacing w:line="240" w:lineRule="auto"/>
                            <w:ind w:left="0" w:hanging="2"/>
                          </w:pPr>
                        </w:p>
                      </w:txbxContent>
                    </v:textbox>
                  </v:rect>
                  <v:group id="Group 447139859" o:spid="_x0000_s1031" style="position:absolute;left:46852;top:36269;width:13215;height:3061" coordorigin="46852,36259" coordsize="13224,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">
                    <v:rect id="Rectangle 211898892" o:spid="_x0000_s1032" style="position:absolute;left:46852;top:36259;width:13225;height:30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" filled="f" stroked="f">
                      <v:textbox inset="2.53958mm,2.53958mm,2.53958mm,2.53958mm">
                        <w:txbxContent>
                          <w:p w14:paraId="6C9CBC7A" w14:textId="77777777" w:rsidR="00B022E6" w:rsidRDefault="00B022E6">
                            <w:pPr>
                              <w:spacing w:line="240" w:lineRule="auto"/>
                              <w:ind w:left="0" w:hanging="2"/>
                            </w:pPr>
                          </w:p>
                        </w:txbxContent>
                      </v:textbox>
                    </v:rect>
                    <v:group id="Group 1930734344" o:spid="_x0000_s1033" style="position:absolute;left:46852;top:36259;width:13225;height:3071" coordorigin=",-6" coordsize="7791,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">
                      <v:rect id="Rectangle 198755364" o:spid="_x0000_s1034" style="position:absolute;width:777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" filled="f" stroked="f">
                        <v:textbox inset="2.53958mm,2.53958mm,2.53958mm,2.53958mm">
                          <w:txbxContent>
                            <w:p w14:paraId="5C6B6607" w14:textId="77777777" w:rsidR="00B022E6" w:rsidRDefault="00B022E6">
                              <w:pPr>
                                <w:spacing w:line="240" w:lineRule="auto"/>
                                <w:ind w:left="0" w:hanging="2"/>
                              </w:pPr>
                            </w:p>
                          </w:txbxContent>
                        </v:textbox>
                      </v:rect>
                      <v:rect id="Rectangle 440779570" o:spid="_x0000_s1035" style="position:absolute;width:7785;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" filled="f" stroked="f">
                        <v:textbox inset="2.53958mm,2.53958mm,2.53958mm,2.53958mm">
                          <w:txbxContent>
                            <w:p w14:paraId="76E6E300" w14:textId="77777777" w:rsidR="00B022E6" w:rsidRDefault="00B022E6">
                              <w:pPr>
                                <w:spacing w:line="240" w:lineRule="auto"/>
                                <w:ind w:left="0" w:hanging="2"/>
                              </w:pPr>
                            </w:p>
                          </w:txbxContent>
                        </v:textbox>
                      </v:rect>
                      <v:shape id="Freeform 1683022907" o:spid="_x0000_s1036" style="position:absolute;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" adj="-11796480,,540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stroke joinstyle="miter"/>
                        <v:formulas/>
                        <v:path arrowok="t" o:extrusionok="f" o:connecttype="custom" textboxrect="0,0,303,295"/>
                        <v:textbox inset="2.53958mm,2.53958mm,2.53958mm,2.53958mm">
                          <w:txbxContent>
                            <w:p w14:paraId="07EC9767" w14:textId="77777777" w:rsidR="00B022E6" w:rsidRDefault="00B022E6">
                              <w:pPr>
                                <w:spacing w:line="240" w:lineRule="auto"/>
                                <w:ind w:left="0" w:hanging="2"/>
                              </w:pPr>
                            </w:p>
                          </w:txbxContent>
                        </v:textbox>
                      </v:shape>
                      <v:shape id="Freeform 1143365161" o:spid="_x0000_s1037" style="position:absolute;left:1856;top:30;width:1962;height:1735;visibility:visible;mso-wrap-style:square;v-text-anchor:middle" coordsize="332,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" adj="-11796480,,540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stroke joinstyle="miter"/>
                        <v:formulas/>
                        <v:path arrowok="t" o:extrusionok="f" o:connecttype="custom" textboxrect="0,0,332,295"/>
                        <v:textbox inset="2.53958mm,2.53958mm,2.53958mm,2.53958mm">
                          <w:txbxContent>
                            <w:p w14:paraId="2CCB41B9" w14:textId="77777777" w:rsidR="00B022E6" w:rsidRDefault="00B022E6">
                              <w:pPr>
                                <w:spacing w:line="240" w:lineRule="auto"/>
                                <w:ind w:left="0" w:hanging="2"/>
                              </w:pPr>
                            </w:p>
                          </w:txbxContent>
                        </v:textbox>
                      </v:shape>
                      <v:shape id="Freeform 1668909776" o:spid="_x0000_s1038" style="position:absolute;left:3895;top:-6;width:1980;height:1806;visibility:visible;mso-wrap-style:square;v-text-anchor:middle" coordsize="335,3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" adj="-11796480,,5400" path="m272,94c253,49,214,21,171,21,114,21,83,67,83,150v,86,37,136,100,136c200,286,213,283,226,275v,-62,,-62,,-62c226,187,219,175,187,175v,-21,,-21,,-21c335,154,335,154,335,154v,21,,21,,21c310,175,302,187,302,211v,73,,73,,73c280,295,215,307,171,307,65,307,,251,,159,,76,61,,174,v46,,95,10,121,27c300,94,300,94,300,94r-28,xe" fillcolor="#009273" stroked="f">
                        <v:stroke joinstyle="miter"/>
                        <v:formulas/>
                        <v:path arrowok="t" o:extrusionok="f" o:connecttype="custom" textboxrect="0,0,335,307"/>
                        <v:textbox inset="2.53958mm,2.53958mm,2.53958mm,2.53958mm">
                          <w:txbxContent>
                            <w:p w14:paraId="334326CE" w14:textId="77777777" w:rsidR="00B022E6" w:rsidRDefault="00B022E6">
                              <w:pPr>
                                <w:spacing w:line="240" w:lineRule="auto"/>
                                <w:ind w:left="0" w:hanging="2"/>
                              </w:pPr>
                            </w:p>
                          </w:txbxContent>
                        </v:textbox>
                      </v:shape>
                      <v:shape id="Freeform 530978552" o:spid="_x0000_s1039" style="position:absolute;left:6000;top:30;width:1791;height:1735;visibility:visible;mso-wrap-style:square;v-text-anchor:middle" coordsize="303,2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" adj="-11796480,,540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stroke joinstyle="miter"/>
                        <v:formulas/>
                        <v:path arrowok="t" o:extrusionok="f" o:connecttype="custom" textboxrect="0,0,303,295"/>
                        <v:textbox inset="2.53958mm,2.53958mm,2.53958mm,2.53958mm">
                          <w:txbxContent>
                            <w:p w14:paraId="24F702D2" w14:textId="77777777" w:rsidR="00B022E6" w:rsidRDefault="00B022E6">
                              <w:pPr>
                                <w:spacing w:line="240" w:lineRule="auto"/>
                                <w:ind w:left="0" w:hanging="2"/>
                              </w:pPr>
                            </w:p>
                          </w:txbxContent>
                        </v:textbox>
                      </v:shape>
                    </v:group>
                  </v:group>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9DA83" w14:textId="058D74B5" w:rsidR="00B022E6" w:rsidRDefault="00762C72">
    <w:pPr>
      <w:tabs>
        <w:tab w:val="center" w:pos="4703"/>
        <w:tab w:val="right" w:pos="9406"/>
      </w:tabs>
      <w:ind w:left="0" w:hanging="2"/>
      <w:jc w:val="right"/>
      <w:rPr>
        <w:color w:val="000000"/>
        <w:sz w:val="12"/>
        <w:szCs w:val="12"/>
      </w:rPr>
    </w:pPr>
    <w:r>
      <w:rPr>
        <w:noProof/>
      </w:rPr>
      <w:drawing>
        <wp:inline distT="0" distB="0" distL="0" distR="0" wp14:anchorId="0FA5B1B6" wp14:editId="08CE398E">
          <wp:extent cx="771083" cy="771083"/>
          <wp:effectExtent l="0" t="0" r="3810" b="3810"/>
          <wp:docPr id="196202209"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209" name="Picture 1" descr="A logo of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60972" cy="860972"/>
                  </a:xfrm>
                  <a:prstGeom prst="rect">
                    <a:avLst/>
                  </a:prstGeom>
                </pic:spPr>
              </pic:pic>
            </a:graphicData>
          </a:graphic>
        </wp:inline>
      </w:drawing>
    </w:r>
  </w:p>
  <w:p w14:paraId="51C08B09" w14:textId="77777777" w:rsidR="00B022E6" w:rsidRDefault="00B022E6">
    <w:pPr>
      <w:pBdr>
        <w:top w:val="nil"/>
        <w:left w:val="nil"/>
        <w:bottom w:val="nil"/>
        <w:right w:val="nil"/>
        <w:between w:val="nil"/>
      </w:pBdr>
      <w:tabs>
        <w:tab w:val="center" w:pos="4703"/>
        <w:tab w:val="right" w:pos="9406"/>
      </w:tabs>
      <w:spacing w:line="240" w:lineRule="auto"/>
      <w:rPr>
        <w:color w:val="000000"/>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84DBA" w14:textId="77777777" w:rsidR="00B022E6" w:rsidRDefault="00000000">
    <w:pPr>
      <w:pBdr>
        <w:top w:val="nil"/>
        <w:left w:val="nil"/>
        <w:bottom w:val="single" w:sz="6" w:space="1" w:color="000000"/>
        <w:right w:val="nil"/>
        <w:between w:val="nil"/>
      </w:pBdr>
      <w:tabs>
        <w:tab w:val="center" w:pos="4703"/>
        <w:tab w:val="right" w:pos="9406"/>
      </w:tabs>
      <w:spacing w:line="240" w:lineRule="auto"/>
      <w:ind w:left="0" w:hanging="2"/>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611"/>
    <w:multiLevelType w:val="multilevel"/>
    <w:tmpl w:val="F80EFC2A"/>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7019D"/>
    <w:multiLevelType w:val="multilevel"/>
    <w:tmpl w:val="3716CE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pStyle w:val="ParaLis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352022B"/>
    <w:multiLevelType w:val="hybridMultilevel"/>
    <w:tmpl w:val="3CDC435A"/>
    <w:lvl w:ilvl="0" w:tplc="74A08704">
      <w:start w:val="1"/>
      <w:numFmt w:val="decimal"/>
      <w:lvlText w:val="%1."/>
      <w:lvlJc w:val="left"/>
      <w:pPr>
        <w:ind w:left="358" w:hanging="360"/>
      </w:pPr>
      <w:rPr>
        <w:rFonts w:hint="default"/>
      </w:rPr>
    </w:lvl>
    <w:lvl w:ilvl="1" w:tplc="04090019" w:tentative="1">
      <w:start w:val="1"/>
      <w:numFmt w:val="lowerLetter"/>
      <w:lvlText w:val="%2)"/>
      <w:lvlJc w:val="left"/>
      <w:pPr>
        <w:ind w:left="878" w:hanging="440"/>
      </w:pPr>
    </w:lvl>
    <w:lvl w:ilvl="2" w:tplc="0409001B" w:tentative="1">
      <w:start w:val="1"/>
      <w:numFmt w:val="lowerRoman"/>
      <w:lvlText w:val="%3."/>
      <w:lvlJc w:val="right"/>
      <w:pPr>
        <w:ind w:left="1318" w:hanging="440"/>
      </w:pPr>
    </w:lvl>
    <w:lvl w:ilvl="3" w:tplc="0409000F" w:tentative="1">
      <w:start w:val="1"/>
      <w:numFmt w:val="decimal"/>
      <w:lvlText w:val="%4."/>
      <w:lvlJc w:val="left"/>
      <w:pPr>
        <w:ind w:left="1758" w:hanging="440"/>
      </w:pPr>
    </w:lvl>
    <w:lvl w:ilvl="4" w:tplc="04090019" w:tentative="1">
      <w:start w:val="1"/>
      <w:numFmt w:val="lowerLetter"/>
      <w:lvlText w:val="%5)"/>
      <w:lvlJc w:val="left"/>
      <w:pPr>
        <w:ind w:left="2198" w:hanging="440"/>
      </w:pPr>
    </w:lvl>
    <w:lvl w:ilvl="5" w:tplc="0409001B" w:tentative="1">
      <w:start w:val="1"/>
      <w:numFmt w:val="lowerRoman"/>
      <w:lvlText w:val="%6."/>
      <w:lvlJc w:val="right"/>
      <w:pPr>
        <w:ind w:left="2638" w:hanging="440"/>
      </w:pPr>
    </w:lvl>
    <w:lvl w:ilvl="6" w:tplc="0409000F" w:tentative="1">
      <w:start w:val="1"/>
      <w:numFmt w:val="decimal"/>
      <w:lvlText w:val="%7."/>
      <w:lvlJc w:val="left"/>
      <w:pPr>
        <w:ind w:left="3078" w:hanging="440"/>
      </w:pPr>
    </w:lvl>
    <w:lvl w:ilvl="7" w:tplc="04090019" w:tentative="1">
      <w:start w:val="1"/>
      <w:numFmt w:val="lowerLetter"/>
      <w:lvlText w:val="%8)"/>
      <w:lvlJc w:val="left"/>
      <w:pPr>
        <w:ind w:left="3518" w:hanging="440"/>
      </w:pPr>
    </w:lvl>
    <w:lvl w:ilvl="8" w:tplc="0409001B" w:tentative="1">
      <w:start w:val="1"/>
      <w:numFmt w:val="lowerRoman"/>
      <w:lvlText w:val="%9."/>
      <w:lvlJc w:val="right"/>
      <w:pPr>
        <w:ind w:left="3958" w:hanging="440"/>
      </w:pPr>
    </w:lvl>
  </w:abstractNum>
  <w:abstractNum w:abstractNumId="3" w15:restartNumberingAfterBreak="0">
    <w:nsid w:val="364004D8"/>
    <w:multiLevelType w:val="hybridMultilevel"/>
    <w:tmpl w:val="03E4854E"/>
    <w:lvl w:ilvl="0" w:tplc="60A62EA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3F760C0"/>
    <w:multiLevelType w:val="multilevel"/>
    <w:tmpl w:val="C44E9E0C"/>
    <w:lvl w:ilvl="0">
      <w:start w:val="1"/>
      <w:numFmt w:val="bullet"/>
      <w:pStyle w:val="a"/>
      <w:lvlText w:val="●"/>
      <w:lvlJc w:val="left"/>
      <w:pPr>
        <w:ind w:left="644" w:hanging="357"/>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B84F24"/>
    <w:multiLevelType w:val="hybridMultilevel"/>
    <w:tmpl w:val="8E2A873A"/>
    <w:lvl w:ilvl="0" w:tplc="D5689188">
      <w:start w:val="1"/>
      <w:numFmt w:val="decimal"/>
      <w:lvlText w:val="%1."/>
      <w:lvlJc w:val="left"/>
      <w:pPr>
        <w:ind w:left="358" w:hanging="360"/>
      </w:pPr>
      <w:rPr>
        <w:rFonts w:hint="default"/>
      </w:rPr>
    </w:lvl>
    <w:lvl w:ilvl="1" w:tplc="04090019" w:tentative="1">
      <w:start w:val="1"/>
      <w:numFmt w:val="lowerLetter"/>
      <w:lvlText w:val="%2)"/>
      <w:lvlJc w:val="left"/>
      <w:pPr>
        <w:ind w:left="878" w:hanging="440"/>
      </w:pPr>
    </w:lvl>
    <w:lvl w:ilvl="2" w:tplc="0409001B" w:tentative="1">
      <w:start w:val="1"/>
      <w:numFmt w:val="lowerRoman"/>
      <w:lvlText w:val="%3."/>
      <w:lvlJc w:val="right"/>
      <w:pPr>
        <w:ind w:left="1318" w:hanging="440"/>
      </w:pPr>
    </w:lvl>
    <w:lvl w:ilvl="3" w:tplc="0409000F" w:tentative="1">
      <w:start w:val="1"/>
      <w:numFmt w:val="decimal"/>
      <w:lvlText w:val="%4."/>
      <w:lvlJc w:val="left"/>
      <w:pPr>
        <w:ind w:left="1758" w:hanging="440"/>
      </w:pPr>
    </w:lvl>
    <w:lvl w:ilvl="4" w:tplc="04090019" w:tentative="1">
      <w:start w:val="1"/>
      <w:numFmt w:val="lowerLetter"/>
      <w:lvlText w:val="%5)"/>
      <w:lvlJc w:val="left"/>
      <w:pPr>
        <w:ind w:left="2198" w:hanging="440"/>
      </w:pPr>
    </w:lvl>
    <w:lvl w:ilvl="5" w:tplc="0409001B" w:tentative="1">
      <w:start w:val="1"/>
      <w:numFmt w:val="lowerRoman"/>
      <w:lvlText w:val="%6."/>
      <w:lvlJc w:val="right"/>
      <w:pPr>
        <w:ind w:left="2638" w:hanging="440"/>
      </w:pPr>
    </w:lvl>
    <w:lvl w:ilvl="6" w:tplc="0409000F" w:tentative="1">
      <w:start w:val="1"/>
      <w:numFmt w:val="decimal"/>
      <w:lvlText w:val="%7."/>
      <w:lvlJc w:val="left"/>
      <w:pPr>
        <w:ind w:left="3078" w:hanging="440"/>
      </w:pPr>
    </w:lvl>
    <w:lvl w:ilvl="7" w:tplc="04090019" w:tentative="1">
      <w:start w:val="1"/>
      <w:numFmt w:val="lowerLetter"/>
      <w:lvlText w:val="%8)"/>
      <w:lvlJc w:val="left"/>
      <w:pPr>
        <w:ind w:left="3518" w:hanging="440"/>
      </w:pPr>
    </w:lvl>
    <w:lvl w:ilvl="8" w:tplc="0409001B" w:tentative="1">
      <w:start w:val="1"/>
      <w:numFmt w:val="lowerRoman"/>
      <w:lvlText w:val="%9."/>
      <w:lvlJc w:val="right"/>
      <w:pPr>
        <w:ind w:left="3958" w:hanging="440"/>
      </w:pPr>
    </w:lvl>
  </w:abstractNum>
  <w:abstractNum w:abstractNumId="6" w15:restartNumberingAfterBreak="0">
    <w:nsid w:val="5EC20310"/>
    <w:multiLevelType w:val="hybridMultilevel"/>
    <w:tmpl w:val="7F40434C"/>
    <w:lvl w:ilvl="0" w:tplc="3CFABB1A">
      <w:start w:val="1"/>
      <w:numFmt w:val="decimal"/>
      <w:lvlText w:val="%1."/>
      <w:lvlJc w:val="left"/>
      <w:pPr>
        <w:ind w:left="358" w:hanging="360"/>
      </w:pPr>
      <w:rPr>
        <w:rFonts w:hint="default"/>
      </w:rPr>
    </w:lvl>
    <w:lvl w:ilvl="1" w:tplc="04090019" w:tentative="1">
      <w:start w:val="1"/>
      <w:numFmt w:val="lowerLetter"/>
      <w:lvlText w:val="%2)"/>
      <w:lvlJc w:val="left"/>
      <w:pPr>
        <w:ind w:left="878" w:hanging="440"/>
      </w:pPr>
    </w:lvl>
    <w:lvl w:ilvl="2" w:tplc="0409001B" w:tentative="1">
      <w:start w:val="1"/>
      <w:numFmt w:val="lowerRoman"/>
      <w:lvlText w:val="%3."/>
      <w:lvlJc w:val="right"/>
      <w:pPr>
        <w:ind w:left="1318" w:hanging="440"/>
      </w:pPr>
    </w:lvl>
    <w:lvl w:ilvl="3" w:tplc="0409000F" w:tentative="1">
      <w:start w:val="1"/>
      <w:numFmt w:val="decimal"/>
      <w:lvlText w:val="%4."/>
      <w:lvlJc w:val="left"/>
      <w:pPr>
        <w:ind w:left="1758" w:hanging="440"/>
      </w:pPr>
    </w:lvl>
    <w:lvl w:ilvl="4" w:tplc="04090019" w:tentative="1">
      <w:start w:val="1"/>
      <w:numFmt w:val="lowerLetter"/>
      <w:lvlText w:val="%5)"/>
      <w:lvlJc w:val="left"/>
      <w:pPr>
        <w:ind w:left="2198" w:hanging="440"/>
      </w:pPr>
    </w:lvl>
    <w:lvl w:ilvl="5" w:tplc="0409001B" w:tentative="1">
      <w:start w:val="1"/>
      <w:numFmt w:val="lowerRoman"/>
      <w:lvlText w:val="%6."/>
      <w:lvlJc w:val="right"/>
      <w:pPr>
        <w:ind w:left="2638" w:hanging="440"/>
      </w:pPr>
    </w:lvl>
    <w:lvl w:ilvl="6" w:tplc="0409000F" w:tentative="1">
      <w:start w:val="1"/>
      <w:numFmt w:val="decimal"/>
      <w:lvlText w:val="%7."/>
      <w:lvlJc w:val="left"/>
      <w:pPr>
        <w:ind w:left="3078" w:hanging="440"/>
      </w:pPr>
    </w:lvl>
    <w:lvl w:ilvl="7" w:tplc="04090019" w:tentative="1">
      <w:start w:val="1"/>
      <w:numFmt w:val="lowerLetter"/>
      <w:lvlText w:val="%8)"/>
      <w:lvlJc w:val="left"/>
      <w:pPr>
        <w:ind w:left="3518" w:hanging="440"/>
      </w:pPr>
    </w:lvl>
    <w:lvl w:ilvl="8" w:tplc="0409001B" w:tentative="1">
      <w:start w:val="1"/>
      <w:numFmt w:val="lowerRoman"/>
      <w:lvlText w:val="%9."/>
      <w:lvlJc w:val="right"/>
      <w:pPr>
        <w:ind w:left="3958" w:hanging="440"/>
      </w:pPr>
    </w:lvl>
  </w:abstractNum>
  <w:abstractNum w:abstractNumId="7" w15:restartNumberingAfterBreak="0">
    <w:nsid w:val="781D3688"/>
    <w:multiLevelType w:val="multilevel"/>
    <w:tmpl w:val="9556A55C"/>
    <w:lvl w:ilvl="0">
      <w:start w:val="1"/>
      <w:numFmt w:val="decimal"/>
      <w:lvlText w:val="%1."/>
      <w:lvlJc w:val="left"/>
      <w:pPr>
        <w:ind w:left="358" w:hanging="360"/>
      </w:pPr>
      <w:rPr>
        <w:rFonts w:hint="default"/>
      </w:rPr>
    </w:lvl>
    <w:lvl w:ilvl="1">
      <w:start w:val="1"/>
      <w:numFmt w:val="decimal"/>
      <w:isLgl/>
      <w:lvlText w:val="%1.%2."/>
      <w:lvlJc w:val="left"/>
      <w:pPr>
        <w:ind w:left="358" w:hanging="360"/>
      </w:pPr>
      <w:rPr>
        <w:rFonts w:hint="default"/>
        <w:b/>
      </w:rPr>
    </w:lvl>
    <w:lvl w:ilvl="2">
      <w:start w:val="1"/>
      <w:numFmt w:val="decimal"/>
      <w:isLgl/>
      <w:lvlText w:val="%1.%2.%3."/>
      <w:lvlJc w:val="left"/>
      <w:pPr>
        <w:ind w:left="718" w:hanging="720"/>
      </w:pPr>
      <w:rPr>
        <w:rFonts w:hint="default"/>
        <w:b/>
      </w:rPr>
    </w:lvl>
    <w:lvl w:ilvl="3">
      <w:start w:val="1"/>
      <w:numFmt w:val="decimal"/>
      <w:isLgl/>
      <w:lvlText w:val="%1.%2.%3.%4."/>
      <w:lvlJc w:val="left"/>
      <w:pPr>
        <w:ind w:left="718" w:hanging="720"/>
      </w:pPr>
      <w:rPr>
        <w:rFonts w:hint="default"/>
        <w:b/>
      </w:rPr>
    </w:lvl>
    <w:lvl w:ilvl="4">
      <w:start w:val="1"/>
      <w:numFmt w:val="decimal"/>
      <w:isLgl/>
      <w:lvlText w:val="%1.%2.%3.%4.%5."/>
      <w:lvlJc w:val="left"/>
      <w:pPr>
        <w:ind w:left="1078" w:hanging="1080"/>
      </w:pPr>
      <w:rPr>
        <w:rFonts w:hint="default"/>
        <w:b/>
      </w:rPr>
    </w:lvl>
    <w:lvl w:ilvl="5">
      <w:start w:val="1"/>
      <w:numFmt w:val="decimal"/>
      <w:isLgl/>
      <w:lvlText w:val="%1.%2.%3.%4.%5.%6."/>
      <w:lvlJc w:val="left"/>
      <w:pPr>
        <w:ind w:left="1078" w:hanging="1080"/>
      </w:pPr>
      <w:rPr>
        <w:rFonts w:hint="default"/>
        <w:b/>
      </w:rPr>
    </w:lvl>
    <w:lvl w:ilvl="6">
      <w:start w:val="1"/>
      <w:numFmt w:val="decimal"/>
      <w:isLgl/>
      <w:lvlText w:val="%1.%2.%3.%4.%5.%6.%7."/>
      <w:lvlJc w:val="left"/>
      <w:pPr>
        <w:ind w:left="1438" w:hanging="1440"/>
      </w:pPr>
      <w:rPr>
        <w:rFonts w:hint="default"/>
        <w:b/>
      </w:rPr>
    </w:lvl>
    <w:lvl w:ilvl="7">
      <w:start w:val="1"/>
      <w:numFmt w:val="decimal"/>
      <w:isLgl/>
      <w:lvlText w:val="%1.%2.%3.%4.%5.%6.%7.%8."/>
      <w:lvlJc w:val="left"/>
      <w:pPr>
        <w:ind w:left="1438" w:hanging="1440"/>
      </w:pPr>
      <w:rPr>
        <w:rFonts w:hint="default"/>
        <w:b/>
      </w:rPr>
    </w:lvl>
    <w:lvl w:ilvl="8">
      <w:start w:val="1"/>
      <w:numFmt w:val="decimal"/>
      <w:isLgl/>
      <w:lvlText w:val="%1.%2.%3.%4.%5.%6.%7.%8.%9."/>
      <w:lvlJc w:val="left"/>
      <w:pPr>
        <w:ind w:left="1798" w:hanging="1800"/>
      </w:pPr>
      <w:rPr>
        <w:rFonts w:hint="default"/>
        <w:b/>
      </w:rPr>
    </w:lvl>
  </w:abstractNum>
  <w:num w:numId="1" w16cid:durableId="2009868990">
    <w:abstractNumId w:val="4"/>
  </w:num>
  <w:num w:numId="2" w16cid:durableId="207305906">
    <w:abstractNumId w:val="1"/>
  </w:num>
  <w:num w:numId="3" w16cid:durableId="1183470590">
    <w:abstractNumId w:val="0"/>
  </w:num>
  <w:num w:numId="4" w16cid:durableId="1105225667">
    <w:abstractNumId w:val="5"/>
  </w:num>
  <w:num w:numId="5" w16cid:durableId="65689079">
    <w:abstractNumId w:val="2"/>
  </w:num>
  <w:num w:numId="6" w16cid:durableId="533808740">
    <w:abstractNumId w:val="7"/>
  </w:num>
  <w:num w:numId="7" w16cid:durableId="288509647">
    <w:abstractNumId w:val="6"/>
  </w:num>
  <w:num w:numId="8" w16cid:durableId="1195194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2E6"/>
    <w:rsid w:val="0007642A"/>
    <w:rsid w:val="000838A8"/>
    <w:rsid w:val="000A7972"/>
    <w:rsid w:val="00157344"/>
    <w:rsid w:val="0018523B"/>
    <w:rsid w:val="002052C9"/>
    <w:rsid w:val="002D5A2D"/>
    <w:rsid w:val="002D692D"/>
    <w:rsid w:val="00312D1B"/>
    <w:rsid w:val="003365BB"/>
    <w:rsid w:val="00351A74"/>
    <w:rsid w:val="003562F6"/>
    <w:rsid w:val="00364D0F"/>
    <w:rsid w:val="003A6139"/>
    <w:rsid w:val="003E6E5E"/>
    <w:rsid w:val="004F721E"/>
    <w:rsid w:val="00507E9E"/>
    <w:rsid w:val="005409F9"/>
    <w:rsid w:val="00554116"/>
    <w:rsid w:val="00584DF1"/>
    <w:rsid w:val="005A075F"/>
    <w:rsid w:val="00613FD1"/>
    <w:rsid w:val="00672BD9"/>
    <w:rsid w:val="00693E59"/>
    <w:rsid w:val="006D3978"/>
    <w:rsid w:val="00706E09"/>
    <w:rsid w:val="007122C7"/>
    <w:rsid w:val="00745E5B"/>
    <w:rsid w:val="00762C72"/>
    <w:rsid w:val="007654BA"/>
    <w:rsid w:val="0079269C"/>
    <w:rsid w:val="008101FC"/>
    <w:rsid w:val="00820B41"/>
    <w:rsid w:val="00823A02"/>
    <w:rsid w:val="00851D3A"/>
    <w:rsid w:val="00917AF8"/>
    <w:rsid w:val="0094179F"/>
    <w:rsid w:val="009553E0"/>
    <w:rsid w:val="009D1A35"/>
    <w:rsid w:val="009F58B2"/>
    <w:rsid w:val="00A900BD"/>
    <w:rsid w:val="00AB13CB"/>
    <w:rsid w:val="00B022E6"/>
    <w:rsid w:val="00B33804"/>
    <w:rsid w:val="00B92241"/>
    <w:rsid w:val="00BD5D76"/>
    <w:rsid w:val="00C07EB4"/>
    <w:rsid w:val="00D17901"/>
    <w:rsid w:val="00D20967"/>
    <w:rsid w:val="00D2724D"/>
    <w:rsid w:val="00D3631F"/>
    <w:rsid w:val="00D406FE"/>
    <w:rsid w:val="00E1392E"/>
    <w:rsid w:val="00E8322F"/>
    <w:rsid w:val="00F70A4E"/>
    <w:rsid w:val="00F75700"/>
    <w:rsid w:val="00FB001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F494D"/>
  <w15:docId w15:val="{EC629850-2971-B244-A386-C029A59D8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en-GB"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spacing w:line="1" w:lineRule="atLeast"/>
      <w:ind w:leftChars="-1" w:left="-1" w:hangingChars="1"/>
      <w:textDirection w:val="btLr"/>
      <w:textAlignment w:val="top"/>
      <w:outlineLvl w:val="0"/>
    </w:pPr>
    <w:rPr>
      <w:position w:val="-1"/>
    </w:rPr>
  </w:style>
  <w:style w:type="paragraph" w:styleId="1">
    <w:name w:val="heading 1"/>
    <w:basedOn w:val="a0"/>
    <w:next w:val="a0"/>
    <w:uiPriority w:val="9"/>
    <w:qFormat/>
    <w:pPr>
      <w:keepNext/>
      <w:spacing w:before="240" w:after="60"/>
    </w:pPr>
    <w:rPr>
      <w:rFonts w:ascii="Arial" w:hAnsi="Arial"/>
      <w:b/>
      <w:kern w:val="28"/>
      <w:sz w:val="28"/>
    </w:rPr>
  </w:style>
  <w:style w:type="paragraph" w:styleId="20">
    <w:name w:val="heading 2"/>
    <w:basedOn w:val="a0"/>
    <w:next w:val="a0"/>
    <w:uiPriority w:val="9"/>
    <w:semiHidden/>
    <w:unhideWhenUsed/>
    <w:qFormat/>
    <w:pPr>
      <w:keepNext/>
      <w:framePr w:w="9356" w:hSpace="142" w:vSpace="284" w:wrap="notBeside" w:vAnchor="text" w:hAnchor="text" w:x="1146" w:y="-112"/>
      <w:spacing w:before="60"/>
      <w:jc w:val="right"/>
      <w:outlineLvl w:val="1"/>
    </w:pPr>
    <w:rPr>
      <w:rFonts w:ascii="Arial" w:hAnsi="Arial"/>
      <w:i/>
      <w:sz w:val="16"/>
    </w:rPr>
  </w:style>
  <w:style w:type="paragraph" w:styleId="3">
    <w:name w:val="heading 3"/>
    <w:basedOn w:val="a0"/>
    <w:next w:val="a0"/>
    <w:uiPriority w:val="9"/>
    <w:semiHidden/>
    <w:unhideWhenUsed/>
    <w:qFormat/>
    <w:pPr>
      <w:keepNext/>
      <w:spacing w:before="240" w:after="60"/>
      <w:outlineLvl w:val="2"/>
    </w:pPr>
    <w:rPr>
      <w:rFonts w:ascii="Arial" w:hAnsi="Arial"/>
    </w:rPr>
  </w:style>
  <w:style w:type="paragraph" w:styleId="4">
    <w:name w:val="heading 4"/>
    <w:basedOn w:val="a0"/>
    <w:next w:val="a0"/>
    <w:uiPriority w:val="9"/>
    <w:semiHidden/>
    <w:unhideWhenUsed/>
    <w:qFormat/>
    <w:pPr>
      <w:keepNext/>
      <w:spacing w:before="240" w:after="60"/>
      <w:outlineLvl w:val="3"/>
    </w:pPr>
    <w:rPr>
      <w:rFonts w:ascii="Arial" w:hAnsi="Arial"/>
      <w:b/>
    </w:rPr>
  </w:style>
  <w:style w:type="paragraph" w:styleId="5">
    <w:name w:val="heading 5"/>
    <w:basedOn w:val="a0"/>
    <w:next w:val="a0"/>
    <w:uiPriority w:val="9"/>
    <w:semiHidden/>
    <w:unhideWhenUsed/>
    <w:qFormat/>
    <w:pPr>
      <w:spacing w:before="240" w:after="60"/>
      <w:outlineLvl w:val="4"/>
    </w:pPr>
    <w:rPr>
      <w:sz w:val="22"/>
    </w:rPr>
  </w:style>
  <w:style w:type="paragraph" w:styleId="6">
    <w:name w:val="heading 6"/>
    <w:basedOn w:val="a0"/>
    <w:next w:val="a0"/>
    <w:uiPriority w:val="9"/>
    <w:semiHidden/>
    <w:unhideWhenUsed/>
    <w:qFormat/>
    <w:pPr>
      <w:spacing w:before="240" w:after="60"/>
      <w:outlineLvl w:val="5"/>
    </w:pPr>
    <w:rPr>
      <w:i/>
      <w:sz w:val="22"/>
    </w:rPr>
  </w:style>
  <w:style w:type="paragraph" w:styleId="7">
    <w:name w:val="heading 7"/>
    <w:basedOn w:val="a0"/>
    <w:next w:val="a0"/>
    <w:pPr>
      <w:spacing w:before="240" w:after="60"/>
      <w:outlineLvl w:val="6"/>
    </w:pPr>
    <w:rPr>
      <w:rFonts w:ascii="Arial" w:hAnsi="Arial"/>
      <w:sz w:val="20"/>
    </w:rPr>
  </w:style>
  <w:style w:type="paragraph" w:styleId="8">
    <w:name w:val="heading 8"/>
    <w:basedOn w:val="a0"/>
    <w:next w:val="a0"/>
    <w:pPr>
      <w:spacing w:before="240" w:after="60"/>
      <w:outlineLvl w:val="7"/>
    </w:pPr>
    <w:rPr>
      <w:rFonts w:ascii="Arial" w:hAnsi="Arial"/>
      <w:i/>
      <w:sz w:val="20"/>
    </w:rPr>
  </w:style>
  <w:style w:type="paragraph" w:styleId="9">
    <w:name w:val="heading 9"/>
    <w:basedOn w:val="a0"/>
    <w:next w:val="a0"/>
    <w:pPr>
      <w:spacing w:before="240" w:after="60"/>
      <w:outlineLvl w:val="8"/>
    </w:pPr>
    <w:rPr>
      <w:rFonts w:ascii="Arial" w:hAnsi="Arial"/>
      <w:b/>
      <w:i/>
      <w:sz w:val="18"/>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uiPriority w:val="10"/>
    <w:qFormat/>
    <w:pPr>
      <w:spacing w:before="240" w:after="60"/>
      <w:jc w:val="center"/>
    </w:pPr>
    <w:rPr>
      <w:rFonts w:ascii="Arial" w:hAnsi="Arial"/>
      <w:b/>
      <w:kern w:val="28"/>
      <w:sz w:val="32"/>
    </w:rPr>
  </w:style>
  <w:style w:type="character" w:styleId="a5">
    <w:name w:val="page number"/>
    <w:basedOn w:val="a1"/>
    <w:rPr>
      <w:w w:val="100"/>
      <w:position w:val="-1"/>
      <w:effect w:val="none"/>
      <w:vertAlign w:val="baseline"/>
      <w:cs w:val="0"/>
      <w:em w:val="none"/>
    </w:rPr>
  </w:style>
  <w:style w:type="paragraph" w:customStyle="1" w:styleId="AUTHOR">
    <w:name w:val="AUTHOR"/>
    <w:basedOn w:val="a0"/>
    <w:pPr>
      <w:framePr w:w="9356" w:hSpace="142" w:vSpace="284" w:wrap="notBeside" w:vAnchor="text" w:hAnchor="text" w:x="1146" w:y="-112"/>
      <w:spacing w:before="60"/>
      <w:jc w:val="right"/>
    </w:pPr>
    <w:rPr>
      <w:rFonts w:ascii="Arial" w:hAnsi="Arial"/>
      <w:caps/>
      <w:sz w:val="16"/>
    </w:rPr>
  </w:style>
  <w:style w:type="paragraph" w:styleId="a6">
    <w:name w:val="header"/>
    <w:basedOn w:val="a0"/>
    <w:pPr>
      <w:tabs>
        <w:tab w:val="center" w:pos="4703"/>
        <w:tab w:val="right" w:pos="9406"/>
      </w:tabs>
      <w:jc w:val="center"/>
    </w:pPr>
    <w:rPr>
      <w:sz w:val="20"/>
      <w:lang w:val="en-GB"/>
    </w:rPr>
  </w:style>
  <w:style w:type="paragraph" w:styleId="a7">
    <w:name w:val="footer"/>
    <w:basedOn w:val="a0"/>
    <w:pPr>
      <w:tabs>
        <w:tab w:val="center" w:pos="4703"/>
        <w:tab w:val="right" w:pos="9406"/>
      </w:tabs>
    </w:pPr>
  </w:style>
  <w:style w:type="paragraph" w:customStyle="1" w:styleId="ParagraphNorm">
    <w:name w:val="ParagraphNorm"/>
    <w:basedOn w:val="a0"/>
    <w:pPr>
      <w:spacing w:before="120"/>
      <w:jc w:val="both"/>
    </w:pPr>
  </w:style>
  <w:style w:type="paragraph" w:customStyle="1" w:styleId="ParaList">
    <w:name w:val="ParaList"/>
    <w:basedOn w:val="ParagraphNorm"/>
    <w:pPr>
      <w:numPr>
        <w:ilvl w:val="11"/>
        <w:numId w:val="2"/>
      </w:numPr>
      <w:tabs>
        <w:tab w:val="left" w:pos="567"/>
      </w:tabs>
      <w:ind w:left="851" w:hanging="284"/>
    </w:pPr>
  </w:style>
  <w:style w:type="paragraph" w:styleId="a8">
    <w:name w:val="caption"/>
    <w:basedOn w:val="a0"/>
    <w:next w:val="a0"/>
    <w:pPr>
      <w:framePr w:w="9663" w:hSpace="142" w:vSpace="284" w:wrap="notBeside" w:vAnchor="text" w:hAnchor="text" w:x="1146" w:y="-112"/>
      <w:tabs>
        <w:tab w:val="right" w:pos="8505"/>
      </w:tabs>
    </w:pPr>
    <w:rPr>
      <w:b/>
      <w:sz w:val="36"/>
    </w:rPr>
  </w:style>
  <w:style w:type="paragraph" w:customStyle="1" w:styleId="Heading1">
    <w:name w:val="Heading1"/>
    <w:basedOn w:val="ParagraphNorm"/>
    <w:next w:val="1"/>
    <w:pPr>
      <w:spacing w:before="240" w:after="120"/>
      <w:ind w:firstLine="0"/>
      <w:jc w:val="left"/>
    </w:pPr>
    <w:rPr>
      <w:b/>
    </w:rPr>
  </w:style>
  <w:style w:type="paragraph" w:customStyle="1" w:styleId="Heading2">
    <w:name w:val="Heading2"/>
    <w:basedOn w:val="ParagraphNorm"/>
    <w:next w:val="20"/>
    <w:pPr>
      <w:spacing w:after="120"/>
      <w:ind w:firstLine="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a9">
    <w:name w:val="Document Map"/>
    <w:basedOn w:val="a0"/>
    <w:pPr>
      <w:shd w:val="clear" w:color="auto" w:fill="000080"/>
    </w:pPr>
    <w:rPr>
      <w:rFonts w:ascii="Tahoma" w:hAnsi="Tahoma"/>
    </w:rPr>
  </w:style>
  <w:style w:type="paragraph" w:styleId="aa">
    <w:name w:val="Salutation"/>
    <w:basedOn w:val="a0"/>
    <w:next w:val="a0"/>
  </w:style>
  <w:style w:type="paragraph" w:styleId="ab">
    <w:name w:val="envelope address"/>
    <w:basedOn w:val="a0"/>
    <w:pPr>
      <w:framePr w:w="7920" w:hSpace="141" w:wrap="auto" w:vAnchor="page" w:hAnchor="text" w:xAlign="center" w:yAlign="bottom"/>
      <w:ind w:left="2880"/>
    </w:pPr>
    <w:rPr>
      <w:rFonts w:ascii="Arial" w:hAnsi="Arial"/>
    </w:rPr>
  </w:style>
  <w:style w:type="paragraph" w:styleId="ac">
    <w:name w:val="Closing"/>
    <w:basedOn w:val="a0"/>
    <w:pPr>
      <w:ind w:left="4252"/>
    </w:pPr>
  </w:style>
  <w:style w:type="paragraph" w:styleId="ad">
    <w:name w:val="envelope return"/>
    <w:basedOn w:val="a0"/>
    <w:rPr>
      <w:rFonts w:ascii="Arial" w:hAnsi="Arial"/>
      <w:sz w:val="20"/>
    </w:rPr>
  </w:style>
  <w:style w:type="paragraph" w:styleId="ae">
    <w:name w:val="Message Header"/>
    <w:basedOn w:val="a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
    <w:name w:val="Block Text"/>
    <w:basedOn w:val="a0"/>
    <w:pPr>
      <w:spacing w:after="120"/>
      <w:ind w:left="1440" w:right="1440"/>
    </w:pPr>
  </w:style>
  <w:style w:type="paragraph" w:styleId="af0">
    <w:name w:val="table of authorities"/>
    <w:basedOn w:val="a0"/>
    <w:next w:val="a0"/>
    <w:pPr>
      <w:ind w:left="240" w:hanging="240"/>
    </w:pPr>
  </w:style>
  <w:style w:type="paragraph" w:styleId="af1">
    <w:name w:val="Date"/>
    <w:basedOn w:val="a0"/>
    <w:next w:val="a0"/>
  </w:style>
  <w:style w:type="paragraph" w:styleId="af2">
    <w:name w:val="endnote text"/>
    <w:basedOn w:val="a0"/>
    <w:rPr>
      <w:sz w:val="20"/>
    </w:rPr>
  </w:style>
  <w:style w:type="paragraph" w:styleId="af3">
    <w:name w:val="Signature"/>
    <w:basedOn w:val="a0"/>
    <w:pPr>
      <w:ind w:left="4252"/>
    </w:pPr>
  </w:style>
  <w:style w:type="paragraph" w:styleId="10">
    <w:name w:val="index 1"/>
    <w:basedOn w:val="a0"/>
    <w:next w:val="a0"/>
    <w:pPr>
      <w:ind w:left="240" w:hanging="240"/>
    </w:pPr>
  </w:style>
  <w:style w:type="paragraph" w:styleId="21">
    <w:name w:val="index 2"/>
    <w:basedOn w:val="a0"/>
    <w:next w:val="a0"/>
    <w:pPr>
      <w:ind w:left="480" w:hanging="240"/>
    </w:pPr>
  </w:style>
  <w:style w:type="paragraph" w:styleId="30">
    <w:name w:val="index 3"/>
    <w:basedOn w:val="a0"/>
    <w:next w:val="a0"/>
    <w:pPr>
      <w:ind w:left="720" w:hanging="240"/>
    </w:pPr>
  </w:style>
  <w:style w:type="paragraph" w:styleId="40">
    <w:name w:val="index 4"/>
    <w:basedOn w:val="a0"/>
    <w:next w:val="a0"/>
    <w:pPr>
      <w:ind w:left="960" w:hanging="240"/>
    </w:pPr>
  </w:style>
  <w:style w:type="paragraph" w:styleId="50">
    <w:name w:val="index 5"/>
    <w:basedOn w:val="a0"/>
    <w:next w:val="a0"/>
    <w:pPr>
      <w:ind w:left="1200" w:hanging="240"/>
    </w:pPr>
  </w:style>
  <w:style w:type="paragraph" w:styleId="60">
    <w:name w:val="index 6"/>
    <w:basedOn w:val="a0"/>
    <w:next w:val="a0"/>
    <w:pPr>
      <w:ind w:left="1440" w:hanging="240"/>
    </w:pPr>
  </w:style>
  <w:style w:type="paragraph" w:styleId="70">
    <w:name w:val="index 7"/>
    <w:basedOn w:val="a0"/>
    <w:next w:val="a0"/>
    <w:pPr>
      <w:ind w:left="1680" w:hanging="240"/>
    </w:pPr>
  </w:style>
  <w:style w:type="paragraph" w:styleId="80">
    <w:name w:val="index 8"/>
    <w:basedOn w:val="a0"/>
    <w:next w:val="a0"/>
    <w:pPr>
      <w:ind w:left="1920" w:hanging="240"/>
    </w:pPr>
  </w:style>
  <w:style w:type="paragraph" w:styleId="90">
    <w:name w:val="index 9"/>
    <w:basedOn w:val="a0"/>
    <w:next w:val="a0"/>
    <w:pPr>
      <w:ind w:left="2160" w:hanging="240"/>
    </w:pPr>
  </w:style>
  <w:style w:type="paragraph" w:styleId="af4">
    <w:name w:val="index heading"/>
    <w:basedOn w:val="a0"/>
    <w:next w:val="10"/>
    <w:rPr>
      <w:rFonts w:ascii="Arial" w:hAnsi="Arial"/>
      <w:b/>
    </w:rPr>
  </w:style>
  <w:style w:type="paragraph" w:styleId="TOC1">
    <w:name w:val="toc 1"/>
    <w:basedOn w:val="a0"/>
    <w:next w:val="a0"/>
  </w:style>
  <w:style w:type="paragraph" w:styleId="TOC2">
    <w:name w:val="toc 2"/>
    <w:basedOn w:val="a0"/>
    <w:next w:val="a0"/>
    <w:pPr>
      <w:ind w:left="240"/>
    </w:pPr>
  </w:style>
  <w:style w:type="paragraph" w:styleId="TOC3">
    <w:name w:val="toc 3"/>
    <w:basedOn w:val="a0"/>
    <w:next w:val="a0"/>
    <w:pPr>
      <w:ind w:left="480"/>
    </w:pPr>
  </w:style>
  <w:style w:type="paragraph" w:styleId="TOC4">
    <w:name w:val="toc 4"/>
    <w:basedOn w:val="a0"/>
    <w:next w:val="a0"/>
    <w:pPr>
      <w:ind w:left="720"/>
    </w:pPr>
  </w:style>
  <w:style w:type="paragraph" w:styleId="TOC5">
    <w:name w:val="toc 5"/>
    <w:basedOn w:val="a0"/>
    <w:next w:val="a0"/>
    <w:pPr>
      <w:ind w:left="960"/>
    </w:pPr>
  </w:style>
  <w:style w:type="paragraph" w:styleId="TOC6">
    <w:name w:val="toc 6"/>
    <w:basedOn w:val="a0"/>
    <w:next w:val="a0"/>
    <w:pPr>
      <w:ind w:left="1200"/>
    </w:pPr>
  </w:style>
  <w:style w:type="paragraph" w:styleId="TOC7">
    <w:name w:val="toc 7"/>
    <w:basedOn w:val="a0"/>
    <w:next w:val="a0"/>
    <w:pPr>
      <w:ind w:left="1440"/>
    </w:pPr>
  </w:style>
  <w:style w:type="paragraph" w:styleId="TOC8">
    <w:name w:val="toc 8"/>
    <w:basedOn w:val="a0"/>
    <w:next w:val="a0"/>
    <w:pPr>
      <w:ind w:left="1680"/>
    </w:pPr>
  </w:style>
  <w:style w:type="paragraph" w:styleId="TOC9">
    <w:name w:val="toc 9"/>
    <w:basedOn w:val="a0"/>
    <w:next w:val="a0"/>
    <w:pPr>
      <w:ind w:left="1920"/>
    </w:pPr>
  </w:style>
  <w:style w:type="paragraph" w:styleId="af5">
    <w:name w:val="toa heading"/>
    <w:basedOn w:val="a0"/>
    <w:next w:val="a0"/>
    <w:pPr>
      <w:spacing w:before="120"/>
    </w:pPr>
    <w:rPr>
      <w:rFonts w:ascii="Arial" w:hAnsi="Arial"/>
      <w:b/>
    </w:rPr>
  </w:style>
  <w:style w:type="paragraph" w:styleId="af6">
    <w:name w:val="List"/>
    <w:basedOn w:val="a0"/>
    <w:pPr>
      <w:ind w:left="283" w:hanging="283"/>
    </w:pPr>
  </w:style>
  <w:style w:type="paragraph" w:styleId="22">
    <w:name w:val="List 2"/>
    <w:basedOn w:val="a0"/>
    <w:pPr>
      <w:ind w:left="566" w:hanging="283"/>
    </w:pPr>
  </w:style>
  <w:style w:type="paragraph" w:styleId="31">
    <w:name w:val="List 3"/>
    <w:basedOn w:val="a0"/>
    <w:pPr>
      <w:ind w:left="849" w:hanging="283"/>
    </w:pPr>
  </w:style>
  <w:style w:type="paragraph" w:styleId="41">
    <w:name w:val="List 4"/>
    <w:basedOn w:val="a0"/>
    <w:pPr>
      <w:ind w:left="1132" w:hanging="283"/>
    </w:pPr>
  </w:style>
  <w:style w:type="paragraph" w:styleId="51">
    <w:name w:val="List 5"/>
    <w:basedOn w:val="a0"/>
    <w:pPr>
      <w:ind w:left="1415" w:hanging="283"/>
    </w:pPr>
  </w:style>
  <w:style w:type="paragraph" w:styleId="af7">
    <w:name w:val="table of figures"/>
    <w:basedOn w:val="a0"/>
    <w:next w:val="a0"/>
    <w:pPr>
      <w:ind w:left="480" w:hanging="480"/>
    </w:pPr>
  </w:style>
  <w:style w:type="paragraph" w:styleId="a">
    <w:name w:val="List Bullet"/>
    <w:basedOn w:val="a0"/>
    <w:pPr>
      <w:numPr>
        <w:numId w:val="1"/>
      </w:numPr>
      <w:ind w:left="-1" w:hanging="1"/>
    </w:pPr>
  </w:style>
  <w:style w:type="paragraph" w:styleId="2">
    <w:name w:val="List Bullet 2"/>
    <w:basedOn w:val="a0"/>
    <w:pPr>
      <w:numPr>
        <w:numId w:val="3"/>
      </w:numPr>
      <w:ind w:left="-1" w:hanging="1"/>
    </w:pPr>
  </w:style>
  <w:style w:type="paragraph" w:styleId="32">
    <w:name w:val="List Bullet 3"/>
    <w:basedOn w:val="a0"/>
    <w:pPr>
      <w:tabs>
        <w:tab w:val="num" w:pos="720"/>
      </w:tabs>
    </w:pPr>
  </w:style>
  <w:style w:type="paragraph" w:styleId="42">
    <w:name w:val="List Bullet 4"/>
    <w:basedOn w:val="a0"/>
    <w:pPr>
      <w:tabs>
        <w:tab w:val="num" w:pos="720"/>
      </w:tabs>
    </w:pPr>
  </w:style>
  <w:style w:type="paragraph" w:styleId="52">
    <w:name w:val="List Bullet 5"/>
    <w:basedOn w:val="a0"/>
    <w:pPr>
      <w:tabs>
        <w:tab w:val="num" w:pos="720"/>
      </w:tabs>
    </w:pPr>
  </w:style>
  <w:style w:type="paragraph" w:styleId="af8">
    <w:name w:val="List Number"/>
    <w:basedOn w:val="a0"/>
    <w:pPr>
      <w:tabs>
        <w:tab w:val="num" w:pos="720"/>
      </w:tabs>
    </w:pPr>
  </w:style>
  <w:style w:type="paragraph" w:styleId="23">
    <w:name w:val="List Number 2"/>
    <w:basedOn w:val="a0"/>
    <w:pPr>
      <w:tabs>
        <w:tab w:val="num" w:pos="720"/>
      </w:tabs>
    </w:pPr>
  </w:style>
  <w:style w:type="paragraph" w:styleId="33">
    <w:name w:val="List Number 3"/>
    <w:basedOn w:val="a0"/>
    <w:pPr>
      <w:tabs>
        <w:tab w:val="num" w:pos="720"/>
      </w:tabs>
    </w:pPr>
  </w:style>
  <w:style w:type="paragraph" w:styleId="43">
    <w:name w:val="List Number 4"/>
    <w:basedOn w:val="a0"/>
    <w:pPr>
      <w:tabs>
        <w:tab w:val="num" w:pos="720"/>
      </w:tabs>
    </w:pPr>
  </w:style>
  <w:style w:type="paragraph" w:styleId="53">
    <w:name w:val="List Number 5"/>
    <w:basedOn w:val="a0"/>
    <w:pPr>
      <w:tabs>
        <w:tab w:val="num" w:pos="720"/>
      </w:tabs>
    </w:pPr>
  </w:style>
  <w:style w:type="paragraph" w:styleId="af9">
    <w:name w:val="List Continue"/>
    <w:basedOn w:val="a0"/>
    <w:pPr>
      <w:spacing w:after="120"/>
      <w:ind w:left="283"/>
    </w:pPr>
  </w:style>
  <w:style w:type="paragraph" w:styleId="24">
    <w:name w:val="List Continue 2"/>
    <w:basedOn w:val="a0"/>
    <w:pPr>
      <w:spacing w:after="120"/>
      <w:ind w:left="566"/>
    </w:pPr>
  </w:style>
  <w:style w:type="paragraph" w:styleId="34">
    <w:name w:val="List Continue 3"/>
    <w:basedOn w:val="a0"/>
    <w:pPr>
      <w:spacing w:after="120"/>
      <w:ind w:left="849"/>
    </w:pPr>
  </w:style>
  <w:style w:type="paragraph" w:styleId="44">
    <w:name w:val="List Continue 4"/>
    <w:basedOn w:val="a0"/>
    <w:pPr>
      <w:spacing w:after="120"/>
      <w:ind w:left="1132"/>
    </w:pPr>
  </w:style>
  <w:style w:type="paragraph" w:styleId="54">
    <w:name w:val="List Continue 5"/>
    <w:basedOn w:val="a0"/>
    <w:pPr>
      <w:spacing w:after="120"/>
      <w:ind w:left="1415"/>
    </w:pPr>
  </w:style>
  <w:style w:type="paragraph" w:styleId="afa">
    <w:name w:val="macro"/>
    <w:pPr>
      <w:tabs>
        <w:tab w:val="left" w:pos="480"/>
        <w:tab w:val="left" w:pos="960"/>
        <w:tab w:val="left" w:pos="1440"/>
        <w:tab w:val="left" w:pos="1920"/>
        <w:tab w:val="left" w:pos="2400"/>
        <w:tab w:val="left" w:pos="2880"/>
        <w:tab w:val="left" w:pos="3360"/>
        <w:tab w:val="left" w:pos="3840"/>
        <w:tab w:val="left" w:pos="4320"/>
      </w:tabs>
      <w:suppressAutoHyphens/>
      <w:spacing w:line="1" w:lineRule="atLeast"/>
      <w:ind w:leftChars="-1" w:left="-1" w:hangingChars="1"/>
      <w:textDirection w:val="btLr"/>
      <w:textAlignment w:val="top"/>
      <w:outlineLvl w:val="0"/>
    </w:pPr>
    <w:rPr>
      <w:rFonts w:ascii="Courier New" w:hAnsi="Courier New"/>
      <w:position w:val="-1"/>
    </w:rPr>
  </w:style>
  <w:style w:type="paragraph" w:styleId="afb">
    <w:name w:val="Note Heading"/>
    <w:basedOn w:val="a0"/>
    <w:next w:val="a0"/>
  </w:style>
  <w:style w:type="paragraph" w:styleId="afc">
    <w:name w:val="Plain Text"/>
    <w:basedOn w:val="a0"/>
    <w:rPr>
      <w:rFonts w:ascii="Courier New" w:hAnsi="Courier New"/>
      <w:sz w:val="20"/>
    </w:rPr>
  </w:style>
  <w:style w:type="paragraph" w:styleId="afd">
    <w:name w:val="Body Text"/>
    <w:basedOn w:val="a0"/>
    <w:pPr>
      <w:spacing w:after="120"/>
    </w:pPr>
  </w:style>
  <w:style w:type="paragraph" w:styleId="25">
    <w:name w:val="Body Text 2"/>
    <w:basedOn w:val="a0"/>
    <w:pPr>
      <w:spacing w:after="120" w:line="480" w:lineRule="auto"/>
    </w:pPr>
  </w:style>
  <w:style w:type="paragraph" w:styleId="35">
    <w:name w:val="Body Text 3"/>
    <w:basedOn w:val="a0"/>
    <w:pPr>
      <w:spacing w:after="120"/>
    </w:pPr>
    <w:rPr>
      <w:sz w:val="16"/>
    </w:rPr>
  </w:style>
  <w:style w:type="paragraph" w:styleId="afe">
    <w:name w:val="Body Text First Indent"/>
    <w:basedOn w:val="afd"/>
    <w:pPr>
      <w:ind w:firstLine="210"/>
    </w:pPr>
  </w:style>
  <w:style w:type="paragraph" w:styleId="aff">
    <w:name w:val="Body Text Indent"/>
    <w:basedOn w:val="a0"/>
    <w:pPr>
      <w:spacing w:after="120"/>
      <w:ind w:left="283"/>
    </w:pPr>
  </w:style>
  <w:style w:type="paragraph" w:styleId="26">
    <w:name w:val="Body Text First Indent 2"/>
    <w:basedOn w:val="aff"/>
    <w:pPr>
      <w:ind w:firstLine="210"/>
    </w:pPr>
  </w:style>
  <w:style w:type="paragraph" w:styleId="27">
    <w:name w:val="Body Text Indent 2"/>
    <w:basedOn w:val="a0"/>
    <w:pPr>
      <w:spacing w:after="120" w:line="480" w:lineRule="auto"/>
      <w:ind w:left="283"/>
    </w:pPr>
  </w:style>
  <w:style w:type="paragraph" w:styleId="36">
    <w:name w:val="Body Text Indent 3"/>
    <w:basedOn w:val="a0"/>
    <w:pPr>
      <w:spacing w:after="120"/>
      <w:ind w:left="283"/>
    </w:pPr>
    <w:rPr>
      <w:sz w:val="16"/>
    </w:rPr>
  </w:style>
  <w:style w:type="paragraph" w:styleId="aff0">
    <w:name w:val="Normal Indent"/>
    <w:basedOn w:val="a0"/>
    <w:pPr>
      <w:ind w:left="708"/>
    </w:pPr>
  </w:style>
  <w:style w:type="paragraph" w:styleId="aff1">
    <w:name w:val="Subtitle"/>
    <w:basedOn w:val="a0"/>
    <w:next w:val="a0"/>
    <w:uiPriority w:val="11"/>
    <w:qFormat/>
    <w:pPr>
      <w:spacing w:after="60"/>
      <w:jc w:val="center"/>
    </w:pPr>
    <w:rPr>
      <w:rFonts w:ascii="Arial" w:eastAsia="Arial" w:hAnsi="Arial" w:cs="Arial"/>
    </w:rPr>
  </w:style>
  <w:style w:type="paragraph" w:styleId="aff2">
    <w:name w:val="annotation text"/>
    <w:basedOn w:val="a0"/>
    <w:rPr>
      <w:sz w:val="20"/>
    </w:rPr>
  </w:style>
  <w:style w:type="paragraph" w:styleId="aff3">
    <w:name w:val="footnote text"/>
    <w:basedOn w:val="a0"/>
    <w:rPr>
      <w:sz w:val="20"/>
    </w:rPr>
  </w:style>
  <w:style w:type="paragraph" w:customStyle="1" w:styleId="caption11ptitalic">
    <w:name w:val="caption 11pt italic"/>
    <w:basedOn w:val="Normal11ptjustified"/>
    <w:pPr>
      <w:spacing w:before="120" w:after="120"/>
    </w:pPr>
    <w:rPr>
      <w:i/>
    </w:rPr>
  </w:style>
  <w:style w:type="paragraph" w:customStyle="1" w:styleId="Address">
    <w:name w:val="Address"/>
    <w:basedOn w:val="20"/>
    <w:pPr>
      <w:framePr w:wrap="notBeside"/>
    </w:pPr>
  </w:style>
  <w:style w:type="paragraph" w:customStyle="1" w:styleId="Normal11ptjustified">
    <w:name w:val="Normal 11pt justified"/>
    <w:basedOn w:val="a0"/>
    <w:pPr>
      <w:tabs>
        <w:tab w:val="left" w:pos="504"/>
      </w:tabs>
      <w:jc w:val="both"/>
    </w:pPr>
    <w:rPr>
      <w:sz w:val="22"/>
      <w:lang w:val="en-GB"/>
    </w:rPr>
  </w:style>
  <w:style w:type="paragraph" w:customStyle="1" w:styleId="Normal11ptcentered">
    <w:name w:val="Normal 11pt centered"/>
    <w:basedOn w:val="Normal11ptjustified"/>
    <w:pPr>
      <w:jc w:val="center"/>
    </w:pPr>
  </w:style>
  <w:style w:type="paragraph" w:customStyle="1" w:styleId="SectionHeading">
    <w:name w:val="Section Heading"/>
    <w:basedOn w:val="a0"/>
    <w:pPr>
      <w:tabs>
        <w:tab w:val="left" w:pos="504"/>
      </w:tabs>
      <w:spacing w:before="240" w:after="240"/>
    </w:pPr>
    <w:rPr>
      <w:b/>
      <w:sz w:val="22"/>
      <w:lang w:val="en-GB"/>
    </w:rPr>
  </w:style>
  <w:style w:type="character" w:styleId="aff4">
    <w:name w:val="Hyperlink"/>
    <w:rPr>
      <w:color w:val="0000FF"/>
      <w:w w:val="100"/>
      <w:position w:val="-1"/>
      <w:u w:val="single"/>
      <w:effect w:val="none"/>
      <w:vertAlign w:val="baseline"/>
      <w:cs w:val="0"/>
      <w:em w:val="none"/>
    </w:rPr>
  </w:style>
  <w:style w:type="character" w:styleId="aff5">
    <w:name w:val="FollowedHyperlink"/>
    <w:rPr>
      <w:color w:val="800080"/>
      <w:w w:val="100"/>
      <w:position w:val="-1"/>
      <w:u w:val="single"/>
      <w:effect w:val="none"/>
      <w:vertAlign w:val="baseline"/>
      <w:cs w:val="0"/>
      <w:em w:val="none"/>
    </w:rPr>
  </w:style>
  <w:style w:type="paragraph" w:styleId="aff6">
    <w:name w:val="Balloon Text"/>
    <w:basedOn w:val="a0"/>
    <w:rPr>
      <w:sz w:val="18"/>
      <w:szCs w:val="18"/>
    </w:rPr>
  </w:style>
  <w:style w:type="character" w:customStyle="1" w:styleId="BalloonTextChar">
    <w:name w:val="Balloon Text Char"/>
    <w:rPr>
      <w:w w:val="100"/>
      <w:position w:val="-1"/>
      <w:sz w:val="18"/>
      <w:szCs w:val="18"/>
      <w:effect w:val="none"/>
      <w:vertAlign w:val="baseline"/>
      <w:cs w:val="0"/>
      <w:em w:val="none"/>
    </w:rPr>
  </w:style>
  <w:style w:type="character" w:styleId="aff7">
    <w:name w:val="Unresolved Mention"/>
    <w:basedOn w:val="a1"/>
    <w:uiPriority w:val="99"/>
    <w:semiHidden/>
    <w:unhideWhenUsed/>
    <w:rsid w:val="00523C5A"/>
    <w:rPr>
      <w:color w:val="605E5C"/>
      <w:shd w:val="clear" w:color="auto" w:fill="E1DFDD"/>
    </w:rPr>
  </w:style>
  <w:style w:type="paragraph" w:styleId="aff8">
    <w:name w:val="List Paragraph"/>
    <w:basedOn w:val="a0"/>
    <w:uiPriority w:val="34"/>
    <w:qFormat/>
    <w:rsid w:val="0079269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uIEgOB7WpGwYjfrfsHtFrYiwC8A==">AMUW2mVAH0c6uccK2WcYkRZAVfoI9nbhu0G83YsdzZGvrnfRa8+V3f5OznoGWH46bMYPO8Dmy+rm87FOP1cGwl1bR41yOzuOdVapt6MxqAS2b9gqq/rbocpv3lOY0O27w+aFnIGX8N+DbR+p5fIA9UcB/Zmw08JWgJ4YUGJAx5TBgDMEsVBshx8GIHEKTLjueYW1dk42hWS8UqjHzSk+HBRl7GMqCF1no774K3TrvtEpdGebuxkDFmiwvZ8WhoLQAh6CQaA1kKqDI4eDnMTWd+iEd7S8HDihhKBAk8Y9SCRFFj4b6IUksIRUKBeMEb20EzvLBPEBhwd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Pages>
  <Words>1228</Words>
  <Characters>5923</Characters>
  <Application>Microsoft Office Word</Application>
  <DocSecurity>0</DocSecurity>
  <Lines>155</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Marjolein van Kraanen</dc:creator>
  <cp:lastModifiedBy>Tianhao Bai</cp:lastModifiedBy>
  <cp:revision>12</cp:revision>
  <cp:lastPrinted>2024-07-22T07:20:00Z</cp:lastPrinted>
  <dcterms:created xsi:type="dcterms:W3CDTF">2024-09-23T11:59:00Z</dcterms:created>
  <dcterms:modified xsi:type="dcterms:W3CDTF">2026-03-01T03:07:00Z</dcterms:modified>
</cp:coreProperties>
</file>