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B1532" w14:textId="279C4547" w:rsidR="0025001E" w:rsidRDefault="000F2F8C">
      <w:pPr>
        <w:pBdr>
          <w:top w:val="nil"/>
          <w:left w:val="nil"/>
          <w:bottom w:val="nil"/>
          <w:right w:val="nil"/>
          <w:between w:val="nil"/>
        </w:pBdr>
        <w:tabs>
          <w:tab w:val="left" w:pos="504"/>
        </w:tabs>
        <w:spacing w:line="240" w:lineRule="auto"/>
        <w:ind w:left="0" w:hanging="2"/>
        <w:rPr>
          <w:b/>
          <w:sz w:val="22"/>
          <w:szCs w:val="22"/>
        </w:rPr>
      </w:pPr>
      <w:r w:rsidRPr="000F2F8C">
        <w:rPr>
          <w:b/>
          <w:sz w:val="22"/>
          <w:szCs w:val="22"/>
        </w:rPr>
        <w:t xml:space="preserve">How the </w:t>
      </w:r>
      <w:r w:rsidR="00A77D34">
        <w:rPr>
          <w:b/>
          <w:sz w:val="22"/>
          <w:szCs w:val="22"/>
        </w:rPr>
        <w:t xml:space="preserve">UN </w:t>
      </w:r>
      <w:r w:rsidRPr="000F2F8C">
        <w:rPr>
          <w:b/>
          <w:sz w:val="22"/>
          <w:szCs w:val="22"/>
        </w:rPr>
        <w:t>BBNJ Agreement Shapes Potential High Seas Deployment</w:t>
      </w:r>
      <w:r w:rsidR="00A77D34">
        <w:rPr>
          <w:b/>
          <w:sz w:val="22"/>
          <w:szCs w:val="22"/>
        </w:rPr>
        <w:t xml:space="preserve"> of CCS</w:t>
      </w:r>
    </w:p>
    <w:p w14:paraId="5578E9E4" w14:textId="77777777" w:rsidR="000F2F8C" w:rsidRDefault="000F2F8C">
      <w:pPr>
        <w:pBdr>
          <w:top w:val="nil"/>
          <w:left w:val="nil"/>
          <w:bottom w:val="nil"/>
          <w:right w:val="nil"/>
          <w:between w:val="nil"/>
        </w:pBdr>
        <w:tabs>
          <w:tab w:val="left" w:pos="504"/>
        </w:tabs>
        <w:spacing w:line="240" w:lineRule="auto"/>
        <w:ind w:left="0" w:hanging="2"/>
        <w:rPr>
          <w:b/>
          <w:sz w:val="22"/>
          <w:szCs w:val="22"/>
        </w:rPr>
      </w:pPr>
    </w:p>
    <w:p w14:paraId="2E5E0176" w14:textId="77777777" w:rsidR="00B022E6" w:rsidRDefault="00F05F88">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Introduction</w:t>
      </w:r>
      <w:bookmarkStart w:id="0" w:name="bookmark=id.gjdgxs" w:colFirst="0" w:colLast="0"/>
      <w:bookmarkEnd w:id="0"/>
    </w:p>
    <w:p w14:paraId="4C1BA72E" w14:textId="4703D8D1" w:rsidR="00F276B6" w:rsidRDefault="00F276B6" w:rsidP="33EC5C17">
      <w:pPr>
        <w:pBdr>
          <w:top w:val="nil"/>
          <w:left w:val="nil"/>
          <w:bottom w:val="nil"/>
          <w:right w:val="nil"/>
          <w:between w:val="nil"/>
        </w:pBdr>
        <w:tabs>
          <w:tab w:val="left" w:pos="504"/>
        </w:tabs>
        <w:spacing w:line="240" w:lineRule="auto"/>
        <w:ind w:left="0" w:hanging="2"/>
        <w:jc w:val="both"/>
        <w:rPr>
          <w:color w:val="000000"/>
          <w:sz w:val="22"/>
          <w:szCs w:val="22"/>
        </w:rPr>
      </w:pPr>
      <w:r w:rsidRPr="000F2F8C">
        <w:rPr>
          <w:color w:val="000000"/>
          <w:sz w:val="22"/>
          <w:szCs w:val="22"/>
        </w:rPr>
        <w:t xml:space="preserve">At present, no carbon capture and storage (CCS) projects are </w:t>
      </w:r>
      <w:r>
        <w:rPr>
          <w:color w:val="000000"/>
          <w:sz w:val="22"/>
          <w:szCs w:val="22"/>
        </w:rPr>
        <w:t xml:space="preserve">publicly </w:t>
      </w:r>
      <w:r w:rsidR="33EC5C17" w:rsidRPr="33EC5C17">
        <w:rPr>
          <w:color w:val="000000" w:themeColor="text1"/>
          <w:sz w:val="22"/>
          <w:szCs w:val="22"/>
        </w:rPr>
        <w:t xml:space="preserve">planned in the high </w:t>
      </w:r>
      <w:r w:rsidRPr="000F2F8C">
        <w:rPr>
          <w:color w:val="000000"/>
          <w:sz w:val="22"/>
          <w:szCs w:val="22"/>
        </w:rPr>
        <w:t>seas</w:t>
      </w:r>
      <w:r w:rsidR="002F4EEB">
        <w:rPr>
          <w:color w:val="000000"/>
          <w:sz w:val="22"/>
          <w:szCs w:val="22"/>
        </w:rPr>
        <w:t xml:space="preserve"> </w:t>
      </w:r>
      <w:r w:rsidR="00E33E69">
        <w:rPr>
          <w:color w:val="000000"/>
          <w:sz w:val="22"/>
          <w:szCs w:val="22"/>
        </w:rPr>
        <w:t>(</w:t>
      </w:r>
      <w:r w:rsidR="00E33E69" w:rsidRPr="00E33E69">
        <w:rPr>
          <w:color w:val="000000"/>
          <w:sz w:val="22"/>
          <w:szCs w:val="22"/>
        </w:rPr>
        <w:t>Bui et al</w:t>
      </w:r>
      <w:r w:rsidR="00E33E69">
        <w:rPr>
          <w:color w:val="000000"/>
          <w:sz w:val="22"/>
          <w:szCs w:val="22"/>
        </w:rPr>
        <w:t>, 2025)</w:t>
      </w:r>
      <w:r w:rsidR="002F4EEB">
        <w:rPr>
          <w:color w:val="000000"/>
          <w:sz w:val="22"/>
          <w:szCs w:val="22"/>
        </w:rPr>
        <w:t>.</w:t>
      </w:r>
      <w:r w:rsidR="33EC5C17" w:rsidRPr="33EC5C17">
        <w:rPr>
          <w:color w:val="000000" w:themeColor="text1"/>
          <w:sz w:val="22"/>
          <w:szCs w:val="22"/>
        </w:rPr>
        <w:t xml:space="preserve"> Instead, offshore CCS development is concentrated within national jurisdictions. The sector is, however, expanding rapidly: planned offshore CCS capacity is expected to exceed 165 million </w:t>
      </w:r>
      <w:proofErr w:type="spellStart"/>
      <w:r w:rsidR="33EC5C17" w:rsidRPr="33EC5C17">
        <w:rPr>
          <w:color w:val="000000" w:themeColor="text1"/>
          <w:sz w:val="22"/>
          <w:szCs w:val="22"/>
        </w:rPr>
        <w:t>tonnes</w:t>
      </w:r>
      <w:proofErr w:type="spellEnd"/>
      <w:r w:rsidR="33EC5C17" w:rsidRPr="33EC5C17">
        <w:rPr>
          <w:color w:val="000000" w:themeColor="text1"/>
          <w:sz w:val="22"/>
          <w:szCs w:val="22"/>
        </w:rPr>
        <w:t xml:space="preserve"> of CO₂ per year by 2030—nearly 100</w:t>
      </w:r>
      <w:r w:rsidRPr="000F2F8C">
        <w:rPr>
          <w:color w:val="000000"/>
          <w:sz w:val="22"/>
          <w:szCs w:val="22"/>
        </w:rPr>
        <w:t xml:space="preserve"> times the current offshore injection rate. Simultaneously, large</w:t>
      </w:r>
      <w:r w:rsidR="00630A5B">
        <w:rPr>
          <w:color w:val="000000"/>
          <w:sz w:val="22"/>
          <w:szCs w:val="22"/>
        </w:rPr>
        <w:t>-</w:t>
      </w:r>
      <w:r w:rsidRPr="000F2F8C">
        <w:rPr>
          <w:color w:val="000000"/>
          <w:sz w:val="22"/>
          <w:szCs w:val="22"/>
        </w:rPr>
        <w:t>scale CO₂ shipping networks are emerging, projected to reach 75–600 Mt annually by 2040, enabling long distance, multinational sequestration pathways</w:t>
      </w:r>
      <w:r w:rsidR="00206DE5">
        <w:rPr>
          <w:color w:val="000000"/>
          <w:sz w:val="22"/>
          <w:szCs w:val="22"/>
        </w:rPr>
        <w:t xml:space="preserve"> (</w:t>
      </w:r>
      <w:r w:rsidR="00206DE5" w:rsidRPr="00206DE5">
        <w:rPr>
          <w:color w:val="000000"/>
          <w:sz w:val="22"/>
          <w:szCs w:val="22"/>
        </w:rPr>
        <w:t>Center for International Environmental Law</w:t>
      </w:r>
      <w:r w:rsidR="00206DE5">
        <w:rPr>
          <w:color w:val="000000"/>
          <w:sz w:val="22"/>
          <w:szCs w:val="22"/>
        </w:rPr>
        <w:t xml:space="preserve">, 2023; Global CCS </w:t>
      </w:r>
      <w:r w:rsidR="00E96643">
        <w:rPr>
          <w:color w:val="000000"/>
          <w:sz w:val="22"/>
          <w:szCs w:val="22"/>
        </w:rPr>
        <w:t>Institute, 2025)</w:t>
      </w:r>
      <w:r w:rsidR="002F4EEB">
        <w:rPr>
          <w:color w:val="000000"/>
          <w:sz w:val="22"/>
          <w:szCs w:val="22"/>
        </w:rPr>
        <w:t>.</w:t>
      </w:r>
      <w:r w:rsidR="00B92080">
        <w:rPr>
          <w:color w:val="000000"/>
          <w:sz w:val="22"/>
          <w:szCs w:val="22"/>
        </w:rPr>
        <w:t xml:space="preserve"> </w:t>
      </w:r>
      <w:r w:rsidR="00B92080" w:rsidRPr="000F2F8C">
        <w:rPr>
          <w:color w:val="000000"/>
          <w:sz w:val="22"/>
          <w:szCs w:val="22"/>
        </w:rPr>
        <w:t xml:space="preserve">Given this trajectory, it is foreseeable that CCS may eventually move into more remote offshore environments, including </w:t>
      </w:r>
      <w:r w:rsidR="00B92080">
        <w:rPr>
          <w:color w:val="000000"/>
          <w:sz w:val="22"/>
          <w:szCs w:val="22"/>
        </w:rPr>
        <w:t xml:space="preserve">in </w:t>
      </w:r>
      <w:r w:rsidR="00B92080" w:rsidRPr="000F2F8C">
        <w:rPr>
          <w:color w:val="000000"/>
          <w:sz w:val="22"/>
          <w:szCs w:val="22"/>
        </w:rPr>
        <w:t xml:space="preserve">areas beyond national jurisdiction </w:t>
      </w:r>
      <w:r w:rsidR="00B92080">
        <w:rPr>
          <w:color w:val="000000"/>
          <w:sz w:val="22"/>
          <w:szCs w:val="22"/>
        </w:rPr>
        <w:t>(</w:t>
      </w:r>
      <w:r w:rsidR="00B92080" w:rsidRPr="000F2F8C">
        <w:rPr>
          <w:color w:val="000000"/>
          <w:sz w:val="22"/>
          <w:szCs w:val="22"/>
        </w:rPr>
        <w:t>ABNJ</w:t>
      </w:r>
      <w:r w:rsidR="00B92080">
        <w:rPr>
          <w:color w:val="000000"/>
          <w:sz w:val="22"/>
          <w:szCs w:val="22"/>
        </w:rPr>
        <w:t>)</w:t>
      </w:r>
      <w:r w:rsidR="00B92080" w:rsidRPr="000F2F8C">
        <w:rPr>
          <w:color w:val="000000"/>
          <w:sz w:val="22"/>
          <w:szCs w:val="22"/>
        </w:rPr>
        <w:t xml:space="preserve">, once states exhaust economically attractive storage options within their exclusive economic zones (EEZs). </w:t>
      </w:r>
      <w:r w:rsidR="00B92080">
        <w:rPr>
          <w:color w:val="000000"/>
          <w:sz w:val="22"/>
          <w:szCs w:val="22"/>
        </w:rPr>
        <w:t>High seas CCS could also be a potential tool for landlocked countries to reach net-zero.</w:t>
      </w:r>
    </w:p>
    <w:p w14:paraId="319D8632" w14:textId="77777777" w:rsidR="00F276B6" w:rsidRDefault="00F276B6" w:rsidP="33EC5C17">
      <w:pPr>
        <w:pBdr>
          <w:top w:val="nil"/>
          <w:left w:val="nil"/>
          <w:bottom w:val="nil"/>
          <w:right w:val="nil"/>
          <w:between w:val="nil"/>
        </w:pBdr>
        <w:tabs>
          <w:tab w:val="left" w:pos="504"/>
        </w:tabs>
        <w:spacing w:line="240" w:lineRule="auto"/>
        <w:ind w:left="0" w:hanging="2"/>
        <w:jc w:val="both"/>
        <w:rPr>
          <w:color w:val="000000"/>
          <w:sz w:val="22"/>
          <w:szCs w:val="22"/>
        </w:rPr>
      </w:pPr>
    </w:p>
    <w:p w14:paraId="6A6E1B19" w14:textId="4ADDDA00" w:rsidR="000F2F8C" w:rsidRDefault="000F2F8C" w:rsidP="33EC5C17">
      <w:pPr>
        <w:pBdr>
          <w:top w:val="nil"/>
          <w:left w:val="nil"/>
          <w:bottom w:val="nil"/>
          <w:right w:val="nil"/>
          <w:between w:val="nil"/>
        </w:pBdr>
        <w:tabs>
          <w:tab w:val="left" w:pos="504"/>
        </w:tabs>
        <w:spacing w:line="240" w:lineRule="auto"/>
        <w:ind w:left="0" w:hanging="2"/>
        <w:jc w:val="both"/>
        <w:rPr>
          <w:color w:val="000000"/>
          <w:sz w:val="22"/>
          <w:szCs w:val="22"/>
        </w:rPr>
      </w:pPr>
      <w:r w:rsidRPr="000F2F8C">
        <w:rPr>
          <w:color w:val="000000"/>
          <w:sz w:val="22"/>
          <w:szCs w:val="22"/>
        </w:rPr>
        <w:t>The entry into force of the</w:t>
      </w:r>
      <w:r w:rsidR="004E4059">
        <w:rPr>
          <w:color w:val="000000"/>
          <w:sz w:val="22"/>
          <w:szCs w:val="22"/>
        </w:rPr>
        <w:t xml:space="preserve"> United Nations</w:t>
      </w:r>
      <w:r w:rsidRPr="000F2F8C">
        <w:rPr>
          <w:color w:val="000000"/>
          <w:sz w:val="22"/>
          <w:szCs w:val="22"/>
        </w:rPr>
        <w:t xml:space="preserve"> Biodiversity Beyond National Jurisdiction (BBNJ) Agreement on 17 January 2026</w:t>
      </w:r>
      <w:r w:rsidR="002F4EEB">
        <w:rPr>
          <w:color w:val="000000"/>
          <w:sz w:val="22"/>
          <w:szCs w:val="22"/>
        </w:rPr>
        <w:t xml:space="preserve"> (IMO, 2026).</w:t>
      </w:r>
      <w:r w:rsidRPr="000F2F8C">
        <w:rPr>
          <w:color w:val="000000"/>
          <w:sz w:val="22"/>
          <w:szCs w:val="22"/>
        </w:rPr>
        <w:t xml:space="preserve"> marks a major development in the law of the sea, particularly in relation to the protection of marine biodiversity in ABNJ. The </w:t>
      </w:r>
      <w:r w:rsidR="00456AE6">
        <w:rPr>
          <w:color w:val="000000"/>
          <w:sz w:val="22"/>
          <w:szCs w:val="22"/>
        </w:rPr>
        <w:t>BBNJ Agreement</w:t>
      </w:r>
      <w:r w:rsidRPr="000F2F8C">
        <w:rPr>
          <w:color w:val="000000"/>
          <w:sz w:val="22"/>
          <w:szCs w:val="22"/>
        </w:rPr>
        <w:t xml:space="preserve"> builds upon and operationalizes key obligations contained in Part XII</w:t>
      </w:r>
      <w:r w:rsidR="002F4EEB">
        <w:rPr>
          <w:color w:val="000000"/>
          <w:sz w:val="22"/>
          <w:szCs w:val="22"/>
        </w:rPr>
        <w:t xml:space="preserve"> </w:t>
      </w:r>
      <w:r w:rsidRPr="000F2F8C">
        <w:rPr>
          <w:color w:val="000000"/>
          <w:sz w:val="22"/>
          <w:szCs w:val="22"/>
        </w:rPr>
        <w:t>of the United Nations Convention on the Law of the Sea (UNCLOS), including the duty to protect and preserve the marine environment (Art. 192) and the obligation to prevent, reduce, and control pollution of the marine environment (Art. 194). Through binding requirements for environmental impact assessments (EIAs), area based management tools (ABMTs), and institutional oversight mechanisms, the BBNJ Agreement provides the first unified framework for regulating activities with ecological consequences in ABNJ</w:t>
      </w:r>
      <w:r w:rsidR="002F4EEB">
        <w:rPr>
          <w:rStyle w:val="FootnoteReference"/>
          <w:color w:val="000000"/>
          <w:sz w:val="22"/>
          <w:szCs w:val="22"/>
        </w:rPr>
        <w:t xml:space="preserve"> </w:t>
      </w:r>
      <w:r w:rsidR="002F4EEB">
        <w:rPr>
          <w:color w:val="000000"/>
          <w:sz w:val="22"/>
          <w:szCs w:val="22"/>
        </w:rPr>
        <w:t>(Beckman, 2014; United Nations, 2024).</w:t>
      </w:r>
      <w:r w:rsidRPr="000F2F8C">
        <w:rPr>
          <w:color w:val="000000"/>
          <w:sz w:val="22"/>
          <w:szCs w:val="22"/>
        </w:rPr>
        <w:t xml:space="preserve"> </w:t>
      </w:r>
    </w:p>
    <w:p w14:paraId="4AE6A1D6" w14:textId="1680BA8D" w:rsidR="000F2F8C" w:rsidRPr="000F2F8C" w:rsidRDefault="000F2F8C" w:rsidP="33EC5C17">
      <w:pPr>
        <w:pBdr>
          <w:top w:val="nil"/>
          <w:left w:val="nil"/>
          <w:bottom w:val="nil"/>
          <w:right w:val="nil"/>
          <w:between w:val="nil"/>
        </w:pBdr>
        <w:tabs>
          <w:tab w:val="left" w:pos="504"/>
        </w:tabs>
        <w:spacing w:line="240" w:lineRule="auto"/>
        <w:ind w:left="0" w:hanging="2"/>
        <w:jc w:val="both"/>
        <w:rPr>
          <w:color w:val="000000"/>
          <w:sz w:val="22"/>
          <w:szCs w:val="22"/>
        </w:rPr>
      </w:pPr>
    </w:p>
    <w:p w14:paraId="676AE8DA" w14:textId="54730689" w:rsidR="00B022E6" w:rsidRDefault="33EC5C17" w:rsidP="33EC5C17">
      <w:pPr>
        <w:pBdr>
          <w:top w:val="nil"/>
          <w:left w:val="nil"/>
          <w:bottom w:val="nil"/>
          <w:right w:val="nil"/>
          <w:between w:val="nil"/>
        </w:pBdr>
        <w:tabs>
          <w:tab w:val="left" w:pos="504"/>
        </w:tabs>
        <w:spacing w:line="240" w:lineRule="auto"/>
        <w:ind w:left="0" w:hanging="2"/>
        <w:jc w:val="both"/>
        <w:rPr>
          <w:color w:val="000000"/>
          <w:sz w:val="22"/>
          <w:szCs w:val="22"/>
        </w:rPr>
      </w:pPr>
      <w:r w:rsidRPr="33EC5C17">
        <w:rPr>
          <w:color w:val="000000" w:themeColor="text1"/>
          <w:sz w:val="22"/>
          <w:szCs w:val="22"/>
        </w:rPr>
        <w:t>Although high seas geological storage of CO</w:t>
      </w:r>
      <w:r w:rsidRPr="33EC5C17">
        <w:rPr>
          <w:color w:val="000000" w:themeColor="text1"/>
          <w:sz w:val="22"/>
          <w:szCs w:val="22"/>
          <w:vertAlign w:val="subscript"/>
        </w:rPr>
        <w:t>2</w:t>
      </w:r>
      <w:r w:rsidRPr="33EC5C17">
        <w:rPr>
          <w:color w:val="000000" w:themeColor="text1"/>
          <w:sz w:val="22"/>
          <w:szCs w:val="22"/>
        </w:rPr>
        <w:t xml:space="preserve"> is not yet feasible, the BBNJ Agreement becomes legally relevant as the governing framework that would regulate CCS activities should they be proposed in ABNJ. Together with the London Protocol  (1996) and its 2006 amendment  authorizing sub seabed CO₂ storage, the BBNJ Agreement provides the architecture for assessing, restricting, or conditioning CCS operations that may affect biodiversity in ABNJ. In anticipation of future CCS expansion, it is therefore essential to evaluate how the BBNJ Agreement integrates with existing CCS related obligations and fills regulatory gaps in ABNJ.</w:t>
      </w:r>
    </w:p>
    <w:p w14:paraId="4C4307C9" w14:textId="77777777" w:rsidR="00F37750" w:rsidRDefault="00F37750" w:rsidP="000F2F8C">
      <w:pPr>
        <w:pBdr>
          <w:top w:val="nil"/>
          <w:left w:val="nil"/>
          <w:bottom w:val="nil"/>
          <w:right w:val="nil"/>
          <w:between w:val="nil"/>
        </w:pBdr>
        <w:tabs>
          <w:tab w:val="left" w:pos="504"/>
        </w:tabs>
        <w:spacing w:line="240" w:lineRule="auto"/>
        <w:ind w:left="0" w:hanging="2"/>
        <w:jc w:val="both"/>
        <w:rPr>
          <w:color w:val="000000"/>
          <w:sz w:val="22"/>
          <w:szCs w:val="22"/>
        </w:rPr>
      </w:pPr>
    </w:p>
    <w:p w14:paraId="553BED76" w14:textId="77777777" w:rsidR="00F37750" w:rsidRPr="00F37750" w:rsidRDefault="00F37750" w:rsidP="00F37750">
      <w:pPr>
        <w:pBdr>
          <w:top w:val="nil"/>
          <w:left w:val="nil"/>
          <w:bottom w:val="nil"/>
          <w:right w:val="nil"/>
          <w:between w:val="nil"/>
        </w:pBdr>
        <w:tabs>
          <w:tab w:val="left" w:pos="504"/>
        </w:tabs>
        <w:spacing w:line="240" w:lineRule="auto"/>
        <w:ind w:left="0" w:hanging="2"/>
        <w:jc w:val="both"/>
        <w:rPr>
          <w:color w:val="000000"/>
          <w:sz w:val="22"/>
          <w:szCs w:val="22"/>
        </w:rPr>
      </w:pPr>
      <w:r w:rsidRPr="00F37750">
        <w:rPr>
          <w:color w:val="000000"/>
          <w:sz w:val="22"/>
          <w:szCs w:val="22"/>
        </w:rPr>
        <w:t>The BBNJ Agreement also affects CCS activities within national jurisdiction when they may impact the high seas. Under Article 28(2), states must conduct an EIA—either following BBNJ procedures or their national system—with associated transparency, monitoring, and reporting obligations. These requirements, supported by the clearing</w:t>
      </w:r>
      <w:r w:rsidRPr="00F37750">
        <w:rPr>
          <w:color w:val="000000"/>
          <w:sz w:val="22"/>
          <w:szCs w:val="22"/>
        </w:rPr>
        <w:noBreakHyphen/>
        <w:t>house mechanism and potential Scientific and Technical Body review, ensure that coastal</w:t>
      </w:r>
      <w:r w:rsidRPr="00F37750">
        <w:rPr>
          <w:color w:val="000000"/>
          <w:sz w:val="22"/>
          <w:szCs w:val="22"/>
        </w:rPr>
        <w:noBreakHyphen/>
        <w:t>state CCS projects do not create unregulated impacts in ABNJ as offshore CO₂ transport and storage networks expand.</w:t>
      </w:r>
    </w:p>
    <w:p w14:paraId="2965CC4C" w14:textId="5C32DA72" w:rsidR="00B022E6" w:rsidRDefault="00B022E6" w:rsidP="000F2F8C">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bookmarkStart w:id="1" w:name="bookmark=id.3znysh7" w:colFirst="0" w:colLast="0"/>
      <w:bookmarkEnd w:id="1"/>
    </w:p>
    <w:p w14:paraId="415B4033" w14:textId="2B8882A2" w:rsidR="00B022E6" w:rsidRDefault="00F05F88">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 xml:space="preserve">Method </w:t>
      </w:r>
    </w:p>
    <w:p w14:paraId="3B0B9516" w14:textId="6C7A99DB" w:rsidR="000F2F8C" w:rsidRDefault="33EC5C17" w:rsidP="33EC5C17">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r w:rsidRPr="33EC5C17">
        <w:rPr>
          <w:color w:val="000000" w:themeColor="text1"/>
          <w:sz w:val="22"/>
          <w:szCs w:val="22"/>
        </w:rPr>
        <w:t xml:space="preserve">This study uses a doctrinal international law methodology, interpreting the BBNJ Agreement in conjunction with key provisions of UNCLOS and the London Convention/London Protocol (LC/LP), to assess how the evolving international legal landscape impacts national regulatory frameworks and value chain development. </w:t>
      </w:r>
    </w:p>
    <w:p w14:paraId="693F6F72" w14:textId="77777777" w:rsidR="000F2F8C" w:rsidRDefault="000F2F8C" w:rsidP="000F2F8C">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p>
    <w:p w14:paraId="72AE9221" w14:textId="46634449" w:rsidR="000F2F8C" w:rsidRPr="000F2F8C" w:rsidRDefault="000F2F8C" w:rsidP="000F2F8C">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r w:rsidRPr="000F2F8C">
        <w:rPr>
          <w:color w:val="000000"/>
          <w:sz w:val="22"/>
          <w:szCs w:val="22"/>
        </w:rPr>
        <w:t>The analysis focuses on:</w:t>
      </w:r>
    </w:p>
    <w:p w14:paraId="2E28F898" w14:textId="274DCBB6" w:rsidR="000F2F8C" w:rsidRPr="000F2F8C" w:rsidRDefault="000F2F8C" w:rsidP="000F2F8C">
      <w:pPr>
        <w:numPr>
          <w:ilvl w:val="0"/>
          <w:numId w:val="4"/>
        </w:numPr>
        <w:pBdr>
          <w:top w:val="nil"/>
          <w:left w:val="nil"/>
          <w:bottom w:val="nil"/>
          <w:right w:val="nil"/>
          <w:between w:val="nil"/>
        </w:pBdr>
        <w:tabs>
          <w:tab w:val="left" w:pos="504"/>
        </w:tabs>
        <w:spacing w:line="240" w:lineRule="auto"/>
        <w:ind w:leftChars="0" w:firstLineChars="0"/>
        <w:jc w:val="both"/>
        <w:rPr>
          <w:color w:val="000000"/>
          <w:sz w:val="22"/>
          <w:szCs w:val="22"/>
        </w:rPr>
      </w:pPr>
      <w:r w:rsidRPr="000F2F8C">
        <w:rPr>
          <w:color w:val="000000"/>
          <w:sz w:val="22"/>
          <w:szCs w:val="22"/>
        </w:rPr>
        <w:t xml:space="preserve">UNCLOS Arts. 192, 194, 197, and 206, which establish </w:t>
      </w:r>
      <w:r w:rsidR="000200F0">
        <w:rPr>
          <w:color w:val="000000"/>
          <w:sz w:val="22"/>
          <w:szCs w:val="22"/>
        </w:rPr>
        <w:t>obligations for states</w:t>
      </w:r>
      <w:r w:rsidRPr="000F2F8C">
        <w:rPr>
          <w:color w:val="000000"/>
          <w:sz w:val="22"/>
          <w:szCs w:val="22"/>
        </w:rPr>
        <w:t xml:space="preserve"> to protect the marine environment, cooperate globally, and conduct EIAs for activities that may cause pollution or environmental harm;</w:t>
      </w:r>
    </w:p>
    <w:p w14:paraId="74D5BBC1" w14:textId="1EFF16CE" w:rsidR="000F2F8C" w:rsidRPr="000F2F8C" w:rsidRDefault="000F2F8C" w:rsidP="000F2F8C">
      <w:pPr>
        <w:numPr>
          <w:ilvl w:val="0"/>
          <w:numId w:val="4"/>
        </w:numPr>
        <w:pBdr>
          <w:top w:val="nil"/>
          <w:left w:val="nil"/>
          <w:bottom w:val="nil"/>
          <w:right w:val="nil"/>
          <w:between w:val="nil"/>
        </w:pBdr>
        <w:tabs>
          <w:tab w:val="left" w:pos="504"/>
        </w:tabs>
        <w:spacing w:line="240" w:lineRule="auto"/>
        <w:ind w:leftChars="0" w:firstLineChars="0"/>
        <w:jc w:val="both"/>
        <w:rPr>
          <w:color w:val="000000"/>
          <w:sz w:val="22"/>
          <w:szCs w:val="22"/>
        </w:rPr>
      </w:pPr>
      <w:r w:rsidRPr="000F2F8C">
        <w:rPr>
          <w:color w:val="000000"/>
          <w:sz w:val="22"/>
          <w:szCs w:val="22"/>
        </w:rPr>
        <w:t>The LC/LP 2006 amendment, which permits sub</w:t>
      </w:r>
      <w:r w:rsidRPr="000F2F8C">
        <w:rPr>
          <w:color w:val="000000"/>
          <w:sz w:val="22"/>
          <w:szCs w:val="22"/>
        </w:rPr>
        <w:noBreakHyphen/>
        <w:t>seabed geological storage of CO₂ but leaves jurisdictional gaps in ABNJ</w:t>
      </w:r>
      <w:r w:rsidR="00EE36E8">
        <w:rPr>
          <w:color w:val="000000"/>
          <w:sz w:val="22"/>
          <w:szCs w:val="22"/>
        </w:rPr>
        <w:t xml:space="preserve"> (International Energy Agency, 202</w:t>
      </w:r>
      <w:r w:rsidR="0076427E">
        <w:rPr>
          <w:color w:val="000000"/>
          <w:sz w:val="22"/>
          <w:szCs w:val="22"/>
        </w:rPr>
        <w:t>1</w:t>
      </w:r>
      <w:r w:rsidR="00EE36E8">
        <w:rPr>
          <w:color w:val="000000"/>
          <w:sz w:val="22"/>
          <w:szCs w:val="22"/>
        </w:rPr>
        <w:t>)</w:t>
      </w:r>
      <w:r w:rsidRPr="000F2F8C">
        <w:rPr>
          <w:color w:val="000000"/>
          <w:sz w:val="22"/>
          <w:szCs w:val="22"/>
        </w:rPr>
        <w:t>; and</w:t>
      </w:r>
    </w:p>
    <w:p w14:paraId="4690C177" w14:textId="7FFF18C9" w:rsidR="000F2F8C" w:rsidRPr="000F2F8C" w:rsidRDefault="000F2F8C" w:rsidP="000F2F8C">
      <w:pPr>
        <w:numPr>
          <w:ilvl w:val="0"/>
          <w:numId w:val="4"/>
        </w:numPr>
        <w:pBdr>
          <w:top w:val="nil"/>
          <w:left w:val="nil"/>
          <w:bottom w:val="nil"/>
          <w:right w:val="nil"/>
          <w:between w:val="nil"/>
        </w:pBdr>
        <w:tabs>
          <w:tab w:val="left" w:pos="504"/>
        </w:tabs>
        <w:spacing w:line="240" w:lineRule="auto"/>
        <w:ind w:leftChars="0" w:firstLineChars="0"/>
        <w:jc w:val="both"/>
        <w:rPr>
          <w:color w:val="000000"/>
          <w:sz w:val="22"/>
          <w:szCs w:val="22"/>
        </w:rPr>
      </w:pPr>
      <w:r w:rsidRPr="000F2F8C">
        <w:rPr>
          <w:color w:val="000000"/>
          <w:sz w:val="22"/>
          <w:szCs w:val="22"/>
        </w:rPr>
        <w:t>BBNJ provisions on EIAs</w:t>
      </w:r>
      <w:r w:rsidR="00914F14">
        <w:rPr>
          <w:color w:val="000000"/>
          <w:sz w:val="22"/>
          <w:szCs w:val="22"/>
        </w:rPr>
        <w:t xml:space="preserve"> (</w:t>
      </w:r>
      <w:r w:rsidR="003C29A3">
        <w:rPr>
          <w:color w:val="000000"/>
          <w:sz w:val="22"/>
          <w:szCs w:val="22"/>
        </w:rPr>
        <w:t>Part IV, Arts. 1.7, 27-28)</w:t>
      </w:r>
      <w:r w:rsidRPr="000F2F8C">
        <w:rPr>
          <w:color w:val="000000"/>
          <w:sz w:val="22"/>
          <w:szCs w:val="22"/>
        </w:rPr>
        <w:t>, ABMTs/MPAs</w:t>
      </w:r>
      <w:r w:rsidR="003C29A3">
        <w:rPr>
          <w:color w:val="000000"/>
          <w:sz w:val="22"/>
          <w:szCs w:val="22"/>
        </w:rPr>
        <w:t xml:space="preserve"> (Part III, 1.1, 1.9, 18-19)</w:t>
      </w:r>
      <w:r w:rsidRPr="000F2F8C">
        <w:rPr>
          <w:color w:val="000000"/>
          <w:sz w:val="22"/>
          <w:szCs w:val="22"/>
        </w:rPr>
        <w:t>, marine genetic resources</w:t>
      </w:r>
      <w:r w:rsidR="003C29A3">
        <w:rPr>
          <w:color w:val="000000"/>
          <w:sz w:val="22"/>
          <w:szCs w:val="22"/>
        </w:rPr>
        <w:t xml:space="preserve"> (Part III)</w:t>
      </w:r>
      <w:r w:rsidRPr="000F2F8C">
        <w:rPr>
          <w:color w:val="000000"/>
          <w:sz w:val="22"/>
          <w:szCs w:val="22"/>
        </w:rPr>
        <w:t>, and institutional oversight</w:t>
      </w:r>
      <w:r w:rsidR="00DB3072">
        <w:rPr>
          <w:color w:val="000000"/>
          <w:sz w:val="22"/>
          <w:szCs w:val="22"/>
        </w:rPr>
        <w:t xml:space="preserve"> (Part VI)</w:t>
      </w:r>
      <w:r w:rsidRPr="000F2F8C">
        <w:rPr>
          <w:color w:val="000000"/>
          <w:sz w:val="22"/>
          <w:szCs w:val="22"/>
        </w:rPr>
        <w:t>.</w:t>
      </w:r>
    </w:p>
    <w:p w14:paraId="32E05EDE" w14:textId="77777777" w:rsidR="000F2F8C" w:rsidRDefault="000F2F8C" w:rsidP="000F2F8C">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p>
    <w:p w14:paraId="3A5AD0DE" w14:textId="37F95D62" w:rsidR="000F2F8C" w:rsidRDefault="000F2F8C" w:rsidP="000F2F8C">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r w:rsidRPr="000F2F8C">
        <w:rPr>
          <w:color w:val="000000"/>
          <w:sz w:val="22"/>
          <w:szCs w:val="22"/>
        </w:rPr>
        <w:t>To situate the legal analysis within current CCS practice, the study draws on contemporary comparative governance research highlighting substantial regulatory fragmentation in offshore CCS regimes, particularly between the EU and China, where differing legal traditions and regulatory approaches produce inconsistent liability rules, monitoring requirements, and environmental safeguards. These governance inconsistencies are aggravated by the rapid scaling of offshore CCS projects and the emergence of multinational CO₂ shipping supply chains, which together suggest a future need for CCS regulation in ABNJ</w:t>
      </w:r>
      <w:r w:rsidR="002F4EEB">
        <w:rPr>
          <w:color w:val="000000"/>
          <w:sz w:val="22"/>
          <w:szCs w:val="22"/>
        </w:rPr>
        <w:t xml:space="preserve"> (</w:t>
      </w:r>
      <w:r w:rsidR="002F4EEB" w:rsidRPr="002F4EEB">
        <w:rPr>
          <w:color w:val="000000"/>
          <w:sz w:val="22"/>
          <w:szCs w:val="22"/>
        </w:rPr>
        <w:t xml:space="preserve">Wang </w:t>
      </w:r>
      <w:r w:rsidR="002F4EEB">
        <w:rPr>
          <w:color w:val="000000"/>
          <w:sz w:val="22"/>
          <w:szCs w:val="22"/>
        </w:rPr>
        <w:t>and</w:t>
      </w:r>
      <w:r w:rsidR="002F4EEB" w:rsidRPr="002F4EEB">
        <w:rPr>
          <w:color w:val="000000"/>
          <w:sz w:val="22"/>
          <w:szCs w:val="22"/>
        </w:rPr>
        <w:t xml:space="preserve"> Zhang, 2025</w:t>
      </w:r>
      <w:r w:rsidR="002F4EEB">
        <w:rPr>
          <w:color w:val="000000"/>
          <w:sz w:val="22"/>
          <w:szCs w:val="22"/>
        </w:rPr>
        <w:t>)</w:t>
      </w:r>
      <w:r w:rsidRPr="000F2F8C">
        <w:rPr>
          <w:color w:val="000000"/>
          <w:sz w:val="22"/>
          <w:szCs w:val="22"/>
        </w:rPr>
        <w:t>.</w:t>
      </w:r>
    </w:p>
    <w:p w14:paraId="718A9F9D" w14:textId="56E4B1C4" w:rsidR="33EC5C17" w:rsidRDefault="33EC5C17" w:rsidP="33EC5C17">
      <w:pPr>
        <w:pBdr>
          <w:top w:val="nil"/>
          <w:left w:val="nil"/>
          <w:bottom w:val="nil"/>
          <w:right w:val="nil"/>
          <w:between w:val="nil"/>
        </w:pBdr>
        <w:tabs>
          <w:tab w:val="left" w:pos="504"/>
        </w:tabs>
        <w:spacing w:line="240" w:lineRule="auto"/>
        <w:ind w:leftChars="0" w:left="0" w:firstLineChars="0" w:firstLine="0"/>
        <w:jc w:val="both"/>
        <w:rPr>
          <w:color w:val="000000" w:themeColor="text1"/>
          <w:sz w:val="22"/>
          <w:szCs w:val="22"/>
        </w:rPr>
      </w:pPr>
    </w:p>
    <w:p w14:paraId="4AC3BD4A" w14:textId="4DE9659C" w:rsidR="33EC5C17" w:rsidRDefault="33EC5C17" w:rsidP="33EC5C17">
      <w:pPr>
        <w:pBdr>
          <w:top w:val="nil"/>
          <w:left w:val="nil"/>
          <w:bottom w:val="nil"/>
          <w:right w:val="nil"/>
          <w:between w:val="nil"/>
        </w:pBdr>
        <w:tabs>
          <w:tab w:val="left" w:pos="504"/>
        </w:tabs>
        <w:spacing w:line="240" w:lineRule="auto"/>
        <w:ind w:leftChars="0" w:left="0" w:firstLineChars="0" w:firstLine="0"/>
        <w:jc w:val="both"/>
      </w:pPr>
      <w:r>
        <w:rPr>
          <w:noProof/>
        </w:rPr>
        <w:drawing>
          <wp:inline distT="0" distB="0" distL="0" distR="0" wp14:anchorId="4417BB83" wp14:editId="6009F3A7">
            <wp:extent cx="4109421" cy="2542756"/>
            <wp:effectExtent l="0" t="0" r="5715" b="0"/>
            <wp:docPr id="1010264991" name="drawing" descr="Source: FA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264991" name="Picture 1010264991"/>
                    <pic:cNvPicPr/>
                  </pic:nvPicPr>
                  <pic:blipFill>
                    <a:blip r:embed="rId9">
                      <a:extLst>
                        <a:ext uri="{28A0092B-C50C-407E-A947-70E740481C1C}">
                          <a14:useLocalDpi xmlns:a14="http://schemas.microsoft.com/office/drawing/2010/main"/>
                        </a:ext>
                      </a:extLst>
                    </a:blip>
                    <a:stretch>
                      <a:fillRect/>
                    </a:stretch>
                  </pic:blipFill>
                  <pic:spPr>
                    <a:xfrm>
                      <a:off x="0" y="0"/>
                      <a:ext cx="4118218" cy="2548199"/>
                    </a:xfrm>
                    <a:prstGeom prst="rect">
                      <a:avLst/>
                    </a:prstGeom>
                  </pic:spPr>
                </pic:pic>
              </a:graphicData>
            </a:graphic>
          </wp:inline>
        </w:drawing>
      </w:r>
    </w:p>
    <w:p w14:paraId="6A7AE208" w14:textId="2ABCDF98" w:rsidR="33EC5C17" w:rsidRDefault="005F6E3B" w:rsidP="33EC5C17">
      <w:pPr>
        <w:pBdr>
          <w:top w:val="nil"/>
          <w:left w:val="nil"/>
          <w:bottom w:val="nil"/>
          <w:right w:val="nil"/>
          <w:between w:val="nil"/>
        </w:pBdr>
        <w:tabs>
          <w:tab w:val="left" w:pos="504"/>
        </w:tabs>
        <w:spacing w:line="240" w:lineRule="auto"/>
        <w:ind w:leftChars="0" w:left="0" w:firstLineChars="0" w:firstLine="0"/>
        <w:jc w:val="both"/>
      </w:pPr>
      <w:r w:rsidRPr="009E1F2B">
        <w:rPr>
          <w:b/>
          <w:bCs/>
        </w:rPr>
        <w:t>Figure 1:</w:t>
      </w:r>
      <w:r>
        <w:t xml:space="preserve"> Map showing areas beyond national jurisdiction. </w:t>
      </w:r>
      <w:r w:rsidR="33EC5C17">
        <w:t>Source: FAO</w:t>
      </w:r>
      <w:r>
        <w:t>.</w:t>
      </w:r>
    </w:p>
    <w:p w14:paraId="5EB5B566" w14:textId="77777777" w:rsidR="00553D40" w:rsidRDefault="00553D40" w:rsidP="000F2F8C">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p>
    <w:p w14:paraId="790C956F" w14:textId="77777777" w:rsidR="000F2F8C" w:rsidRPr="000F2F8C" w:rsidRDefault="000F2F8C" w:rsidP="000F2F8C">
      <w:pPr>
        <w:pBdr>
          <w:top w:val="nil"/>
          <w:left w:val="nil"/>
          <w:bottom w:val="nil"/>
          <w:right w:val="nil"/>
          <w:between w:val="nil"/>
        </w:pBdr>
        <w:tabs>
          <w:tab w:val="left" w:pos="504"/>
        </w:tabs>
        <w:spacing w:line="240" w:lineRule="auto"/>
        <w:ind w:left="0" w:hanging="2"/>
        <w:jc w:val="both"/>
        <w:rPr>
          <w:b/>
          <w:bCs/>
          <w:color w:val="000000"/>
          <w:sz w:val="22"/>
          <w:szCs w:val="22"/>
        </w:rPr>
      </w:pPr>
      <w:r w:rsidRPr="000F2F8C">
        <w:rPr>
          <w:b/>
          <w:bCs/>
          <w:color w:val="000000"/>
          <w:sz w:val="22"/>
          <w:szCs w:val="22"/>
        </w:rPr>
        <w:t>Results and Discussion</w:t>
      </w:r>
    </w:p>
    <w:p w14:paraId="72CDBE47" w14:textId="77777777" w:rsidR="000F2F8C" w:rsidRPr="00800908" w:rsidRDefault="000F2F8C" w:rsidP="000F2F8C">
      <w:pPr>
        <w:pBdr>
          <w:top w:val="nil"/>
          <w:left w:val="nil"/>
          <w:bottom w:val="nil"/>
          <w:right w:val="nil"/>
          <w:between w:val="nil"/>
        </w:pBdr>
        <w:tabs>
          <w:tab w:val="left" w:pos="504"/>
        </w:tabs>
        <w:spacing w:line="240" w:lineRule="auto"/>
        <w:ind w:left="0" w:hanging="2"/>
        <w:jc w:val="both"/>
        <w:rPr>
          <w:b/>
          <w:bCs/>
          <w:color w:val="000000"/>
          <w:sz w:val="22"/>
          <w:szCs w:val="22"/>
        </w:rPr>
      </w:pPr>
      <w:r w:rsidRPr="00800908">
        <w:rPr>
          <w:b/>
          <w:bCs/>
          <w:color w:val="000000"/>
          <w:sz w:val="22"/>
          <w:szCs w:val="22"/>
        </w:rPr>
        <w:t>1. Why High</w:t>
      </w:r>
      <w:r w:rsidRPr="00800908">
        <w:rPr>
          <w:b/>
          <w:bCs/>
          <w:color w:val="000000"/>
          <w:sz w:val="22"/>
          <w:szCs w:val="22"/>
        </w:rPr>
        <w:noBreakHyphen/>
        <w:t>Seas CCS Is Not Currently Pursued</w:t>
      </w:r>
    </w:p>
    <w:p w14:paraId="5A09ACD7" w14:textId="7CD2D96F" w:rsidR="000F2F8C" w:rsidRDefault="000F2F8C" w:rsidP="33EC5C17">
      <w:pPr>
        <w:pBdr>
          <w:top w:val="nil"/>
          <w:left w:val="nil"/>
          <w:bottom w:val="nil"/>
          <w:right w:val="nil"/>
          <w:between w:val="nil"/>
        </w:pBdr>
        <w:tabs>
          <w:tab w:val="left" w:pos="504"/>
        </w:tabs>
        <w:spacing w:line="240" w:lineRule="auto"/>
        <w:ind w:left="0" w:hanging="2"/>
        <w:jc w:val="both"/>
        <w:rPr>
          <w:color w:val="000000"/>
          <w:sz w:val="22"/>
          <w:szCs w:val="22"/>
        </w:rPr>
      </w:pPr>
      <w:r w:rsidRPr="000F2F8C">
        <w:rPr>
          <w:color w:val="000000"/>
          <w:sz w:val="22"/>
          <w:szCs w:val="22"/>
        </w:rPr>
        <w:t xml:space="preserve">Although CCS is expanding rapidly offshore, no actors are planning CCS activities in the high seas. Existing projects rely on the use of </w:t>
      </w:r>
      <w:r w:rsidR="349F7010" w:rsidRPr="349F7010">
        <w:rPr>
          <w:color w:val="000000" w:themeColor="text1"/>
          <w:sz w:val="22"/>
          <w:szCs w:val="22"/>
        </w:rPr>
        <w:t xml:space="preserve">saline aquifers and </w:t>
      </w:r>
      <w:r w:rsidRPr="000F2F8C">
        <w:rPr>
          <w:color w:val="000000"/>
          <w:sz w:val="22"/>
          <w:szCs w:val="22"/>
        </w:rPr>
        <w:t>depleted oil and gas reservoirs in national jurisdictions. Regions such as the North Sea, Gulf of Mexico, and Southeast Asia have decades of seismic data, pipelines, and platforms that make offshore CCS economically feasible</w:t>
      </w:r>
      <w:r w:rsidR="00B53B87">
        <w:rPr>
          <w:color w:val="000000"/>
          <w:sz w:val="22"/>
          <w:szCs w:val="22"/>
        </w:rPr>
        <w:t xml:space="preserve"> (Bui et al, 2025; International Energy Agency, 2020; Wang and Zhang, 2025)</w:t>
      </w:r>
      <w:r w:rsidR="349F7010" w:rsidRPr="349F7010">
        <w:rPr>
          <w:color w:val="000000" w:themeColor="text1"/>
          <w:sz w:val="22"/>
          <w:szCs w:val="22"/>
        </w:rPr>
        <w:t>, alongside an evolving legal and policy fram</w:t>
      </w:r>
      <w:r w:rsidR="00EE36E8">
        <w:rPr>
          <w:color w:val="000000" w:themeColor="text1"/>
          <w:sz w:val="22"/>
          <w:szCs w:val="22"/>
        </w:rPr>
        <w:t>e</w:t>
      </w:r>
      <w:r w:rsidR="349F7010" w:rsidRPr="349F7010">
        <w:rPr>
          <w:color w:val="000000" w:themeColor="text1"/>
          <w:sz w:val="22"/>
          <w:szCs w:val="22"/>
        </w:rPr>
        <w:t>work.</w:t>
      </w:r>
      <w:r w:rsidR="001677A1">
        <w:rPr>
          <w:color w:val="000000"/>
          <w:sz w:val="22"/>
          <w:szCs w:val="22"/>
        </w:rPr>
        <w:t xml:space="preserve"> </w:t>
      </w:r>
    </w:p>
    <w:p w14:paraId="57031C6A" w14:textId="77777777" w:rsidR="000F2F8C" w:rsidRPr="000F2F8C" w:rsidRDefault="000F2F8C" w:rsidP="000F2F8C">
      <w:pPr>
        <w:pBdr>
          <w:top w:val="nil"/>
          <w:left w:val="nil"/>
          <w:bottom w:val="nil"/>
          <w:right w:val="nil"/>
          <w:between w:val="nil"/>
        </w:pBdr>
        <w:tabs>
          <w:tab w:val="left" w:pos="504"/>
        </w:tabs>
        <w:spacing w:line="240" w:lineRule="auto"/>
        <w:ind w:left="0" w:hanging="2"/>
        <w:jc w:val="both"/>
        <w:rPr>
          <w:color w:val="000000"/>
          <w:sz w:val="22"/>
          <w:szCs w:val="22"/>
        </w:rPr>
      </w:pPr>
    </w:p>
    <w:p w14:paraId="3A4A4799" w14:textId="11436C02" w:rsidR="000F2F8C" w:rsidRDefault="000F2F8C" w:rsidP="000F2F8C">
      <w:pPr>
        <w:pBdr>
          <w:top w:val="nil"/>
          <w:left w:val="nil"/>
          <w:bottom w:val="nil"/>
          <w:right w:val="nil"/>
          <w:between w:val="nil"/>
        </w:pBdr>
        <w:tabs>
          <w:tab w:val="left" w:pos="504"/>
        </w:tabs>
        <w:spacing w:line="240" w:lineRule="auto"/>
        <w:ind w:left="0" w:hanging="2"/>
        <w:jc w:val="both"/>
        <w:rPr>
          <w:color w:val="000000"/>
          <w:sz w:val="22"/>
          <w:szCs w:val="22"/>
        </w:rPr>
      </w:pPr>
      <w:r w:rsidRPr="000F2F8C">
        <w:rPr>
          <w:color w:val="000000"/>
          <w:sz w:val="22"/>
          <w:szCs w:val="22"/>
        </w:rPr>
        <w:t>Technical uncertainty is also a limiting factor. Case studies show that even flagship offshore CCS projects have experienced unexpected CO₂ migration patterns, requiring corrective actions and revealing uncertainties in storage behavior. These challenges are intensified in deep</w:t>
      </w:r>
      <w:r w:rsidRPr="000F2F8C">
        <w:rPr>
          <w:color w:val="000000"/>
          <w:sz w:val="22"/>
          <w:szCs w:val="22"/>
        </w:rPr>
        <w:noBreakHyphen/>
        <w:t>sea and high</w:t>
      </w:r>
      <w:r w:rsidRPr="000F2F8C">
        <w:rPr>
          <w:color w:val="000000"/>
          <w:sz w:val="22"/>
          <w:szCs w:val="22"/>
        </w:rPr>
        <w:noBreakHyphen/>
        <w:t>seas environments, where monitoring is more difficult, costly, and technologically complex</w:t>
      </w:r>
      <w:r w:rsidR="00B53B87">
        <w:rPr>
          <w:color w:val="000000"/>
          <w:sz w:val="22"/>
          <w:szCs w:val="22"/>
        </w:rPr>
        <w:t xml:space="preserve"> </w:t>
      </w:r>
      <w:r w:rsidR="009D7886">
        <w:rPr>
          <w:color w:val="000000"/>
          <w:sz w:val="22"/>
          <w:szCs w:val="22"/>
        </w:rPr>
        <w:t>(</w:t>
      </w:r>
      <w:r w:rsidR="00B53B87" w:rsidRPr="00B53B87">
        <w:rPr>
          <w:color w:val="000000"/>
          <w:sz w:val="22"/>
          <w:szCs w:val="22"/>
        </w:rPr>
        <w:t>Turrell et al</w:t>
      </w:r>
      <w:r w:rsidR="00B53B87">
        <w:rPr>
          <w:color w:val="000000"/>
          <w:sz w:val="22"/>
          <w:szCs w:val="22"/>
        </w:rPr>
        <w:t>, 202</w:t>
      </w:r>
      <w:r w:rsidR="009D7886">
        <w:rPr>
          <w:color w:val="000000"/>
          <w:sz w:val="22"/>
          <w:szCs w:val="22"/>
        </w:rPr>
        <w:t>2</w:t>
      </w:r>
      <w:r w:rsidR="00B53B87">
        <w:rPr>
          <w:color w:val="000000"/>
          <w:sz w:val="22"/>
          <w:szCs w:val="22"/>
        </w:rPr>
        <w:t xml:space="preserve">) </w:t>
      </w:r>
      <w:r w:rsidRPr="000F2F8C">
        <w:rPr>
          <w:color w:val="000000"/>
          <w:sz w:val="22"/>
          <w:szCs w:val="22"/>
        </w:rPr>
        <w:t>As a result, high</w:t>
      </w:r>
      <w:r w:rsidRPr="000F2F8C">
        <w:rPr>
          <w:color w:val="000000"/>
          <w:sz w:val="22"/>
          <w:szCs w:val="22"/>
        </w:rPr>
        <w:noBreakHyphen/>
        <w:t>seas CCS remains commercially unattractive and operationally high</w:t>
      </w:r>
      <w:r w:rsidRPr="000F2F8C">
        <w:rPr>
          <w:color w:val="000000"/>
          <w:sz w:val="22"/>
          <w:szCs w:val="22"/>
        </w:rPr>
        <w:noBreakHyphen/>
        <w:t>risk</w:t>
      </w:r>
      <w:r w:rsidR="0076427E">
        <w:rPr>
          <w:color w:val="000000"/>
          <w:sz w:val="22"/>
          <w:szCs w:val="22"/>
        </w:rPr>
        <w:t xml:space="preserve"> (</w:t>
      </w:r>
      <w:r w:rsidR="0076427E" w:rsidRPr="0076427E">
        <w:rPr>
          <w:color w:val="000000"/>
          <w:sz w:val="22"/>
          <w:szCs w:val="22"/>
        </w:rPr>
        <w:t>Branco de Almeida, 2022</w:t>
      </w:r>
      <w:r w:rsidR="0076427E">
        <w:rPr>
          <w:color w:val="000000"/>
          <w:sz w:val="22"/>
          <w:szCs w:val="22"/>
        </w:rPr>
        <w:t>).</w:t>
      </w:r>
    </w:p>
    <w:p w14:paraId="22FEA0C4" w14:textId="77777777" w:rsidR="00800908" w:rsidRPr="000F2F8C" w:rsidRDefault="00800908" w:rsidP="000F2F8C">
      <w:pPr>
        <w:pBdr>
          <w:top w:val="nil"/>
          <w:left w:val="nil"/>
          <w:bottom w:val="nil"/>
          <w:right w:val="nil"/>
          <w:between w:val="nil"/>
        </w:pBdr>
        <w:tabs>
          <w:tab w:val="left" w:pos="504"/>
        </w:tabs>
        <w:spacing w:line="240" w:lineRule="auto"/>
        <w:ind w:left="0" w:hanging="2"/>
        <w:jc w:val="both"/>
        <w:rPr>
          <w:color w:val="000000"/>
          <w:sz w:val="22"/>
          <w:szCs w:val="22"/>
        </w:rPr>
      </w:pPr>
    </w:p>
    <w:p w14:paraId="58A3E0CE" w14:textId="1C052D1D" w:rsidR="000F2F8C" w:rsidRPr="000F2F8C" w:rsidRDefault="000F2F8C" w:rsidP="000F2F8C">
      <w:pPr>
        <w:pBdr>
          <w:top w:val="nil"/>
          <w:left w:val="nil"/>
          <w:bottom w:val="nil"/>
          <w:right w:val="nil"/>
          <w:between w:val="nil"/>
        </w:pBdr>
        <w:tabs>
          <w:tab w:val="left" w:pos="504"/>
        </w:tabs>
        <w:spacing w:line="240" w:lineRule="auto"/>
        <w:ind w:left="0" w:hanging="2"/>
        <w:jc w:val="both"/>
        <w:rPr>
          <w:color w:val="000000"/>
          <w:sz w:val="22"/>
          <w:szCs w:val="22"/>
        </w:rPr>
      </w:pPr>
      <w:r w:rsidRPr="000F2F8C">
        <w:rPr>
          <w:color w:val="000000"/>
          <w:sz w:val="22"/>
          <w:szCs w:val="22"/>
        </w:rPr>
        <w:t>Legally, ABNJ remains one of the least regulated domains for CCS. Neither UNCLOS nor the LC/LP expressly addresses CCS in ABNJ.</w:t>
      </w:r>
      <w:r w:rsidR="009E3763">
        <w:rPr>
          <w:rStyle w:val="FootnoteReference"/>
          <w:color w:val="000000"/>
          <w:sz w:val="22"/>
          <w:szCs w:val="22"/>
        </w:rPr>
        <w:footnoteReference w:id="1"/>
      </w:r>
      <w:r w:rsidRPr="000F2F8C">
        <w:rPr>
          <w:color w:val="000000"/>
          <w:sz w:val="22"/>
          <w:szCs w:val="22"/>
        </w:rPr>
        <w:t xml:space="preserve"> Although the LC/LP 2006 amendment governs sub</w:t>
      </w:r>
      <w:r w:rsidRPr="000F2F8C">
        <w:rPr>
          <w:color w:val="000000"/>
          <w:sz w:val="22"/>
          <w:szCs w:val="22"/>
        </w:rPr>
        <w:noBreakHyphen/>
        <w:t>seabed CO₂ storage, it is primarily oriented toward operations within national jurisdiction, leaving ABNJ liability, monitoring, and long</w:t>
      </w:r>
      <w:r w:rsidRPr="000F2F8C">
        <w:rPr>
          <w:color w:val="000000"/>
          <w:sz w:val="22"/>
          <w:szCs w:val="22"/>
        </w:rPr>
        <w:noBreakHyphen/>
        <w:t>term stewardship obligations undefined. This legal uncertainty further discourages investment in high</w:t>
      </w:r>
      <w:r w:rsidRPr="000F2F8C">
        <w:rPr>
          <w:color w:val="000000"/>
          <w:sz w:val="22"/>
          <w:szCs w:val="22"/>
        </w:rPr>
        <w:noBreakHyphen/>
        <w:t>seas CCS.</w:t>
      </w:r>
    </w:p>
    <w:p w14:paraId="21F4172E" w14:textId="77777777" w:rsidR="000F2F8C" w:rsidRPr="000F2F8C" w:rsidRDefault="000F2F8C" w:rsidP="000F2F8C">
      <w:pPr>
        <w:pBdr>
          <w:top w:val="nil"/>
          <w:left w:val="nil"/>
          <w:bottom w:val="nil"/>
          <w:right w:val="nil"/>
          <w:between w:val="nil"/>
        </w:pBdr>
        <w:tabs>
          <w:tab w:val="left" w:pos="504"/>
        </w:tabs>
        <w:spacing w:line="240" w:lineRule="auto"/>
        <w:ind w:left="0" w:hanging="2"/>
        <w:jc w:val="both"/>
        <w:rPr>
          <w:color w:val="000000"/>
          <w:sz w:val="22"/>
          <w:szCs w:val="22"/>
        </w:rPr>
      </w:pPr>
    </w:p>
    <w:p w14:paraId="2C29F91C" w14:textId="77777777" w:rsidR="000F2F8C" w:rsidRPr="000F2F8C" w:rsidRDefault="000F2F8C" w:rsidP="000F2F8C">
      <w:pPr>
        <w:pBdr>
          <w:top w:val="nil"/>
          <w:left w:val="nil"/>
          <w:bottom w:val="nil"/>
          <w:right w:val="nil"/>
          <w:between w:val="nil"/>
        </w:pBdr>
        <w:tabs>
          <w:tab w:val="left" w:pos="504"/>
        </w:tabs>
        <w:spacing w:line="240" w:lineRule="auto"/>
        <w:ind w:left="0" w:hanging="2"/>
        <w:jc w:val="both"/>
        <w:rPr>
          <w:b/>
          <w:bCs/>
          <w:color w:val="000000"/>
          <w:sz w:val="22"/>
          <w:szCs w:val="22"/>
        </w:rPr>
      </w:pPr>
      <w:r w:rsidRPr="000F2F8C">
        <w:rPr>
          <w:b/>
          <w:bCs/>
          <w:color w:val="000000"/>
          <w:sz w:val="22"/>
          <w:szCs w:val="22"/>
        </w:rPr>
        <w:t>2. Why the BBNJ Agreement Is Relevant Despite the Absence of High</w:t>
      </w:r>
      <w:r w:rsidRPr="000F2F8C">
        <w:rPr>
          <w:b/>
          <w:bCs/>
          <w:color w:val="000000"/>
          <w:sz w:val="22"/>
          <w:szCs w:val="22"/>
        </w:rPr>
        <w:noBreakHyphen/>
        <w:t>Seas CCS</w:t>
      </w:r>
    </w:p>
    <w:p w14:paraId="61465FE4" w14:textId="77777777" w:rsidR="000F2F8C" w:rsidRPr="000F2F8C" w:rsidRDefault="000F2F8C" w:rsidP="000F2F8C">
      <w:pPr>
        <w:pBdr>
          <w:top w:val="nil"/>
          <w:left w:val="nil"/>
          <w:bottom w:val="nil"/>
          <w:right w:val="nil"/>
          <w:between w:val="nil"/>
        </w:pBdr>
        <w:tabs>
          <w:tab w:val="left" w:pos="504"/>
        </w:tabs>
        <w:spacing w:line="240" w:lineRule="auto"/>
        <w:ind w:left="0" w:hanging="2"/>
        <w:jc w:val="both"/>
        <w:rPr>
          <w:i/>
          <w:iCs/>
          <w:color w:val="000000"/>
          <w:sz w:val="22"/>
          <w:szCs w:val="22"/>
        </w:rPr>
      </w:pPr>
      <w:r w:rsidRPr="000F2F8C">
        <w:rPr>
          <w:i/>
          <w:iCs/>
          <w:color w:val="000000"/>
          <w:sz w:val="22"/>
          <w:szCs w:val="22"/>
        </w:rPr>
        <w:t>A. Operationalizing UNCLOS Duties Through EIAs and Precaution</w:t>
      </w:r>
    </w:p>
    <w:p w14:paraId="63D99AEC" w14:textId="5E81FE9C" w:rsidR="000F2F8C" w:rsidRDefault="000F2F8C" w:rsidP="000F2F8C">
      <w:pPr>
        <w:pBdr>
          <w:top w:val="nil"/>
          <w:left w:val="nil"/>
          <w:bottom w:val="nil"/>
          <w:right w:val="nil"/>
          <w:between w:val="nil"/>
        </w:pBdr>
        <w:tabs>
          <w:tab w:val="left" w:pos="504"/>
        </w:tabs>
        <w:spacing w:line="240" w:lineRule="auto"/>
        <w:ind w:left="0" w:hanging="2"/>
        <w:jc w:val="both"/>
        <w:rPr>
          <w:color w:val="000000"/>
          <w:sz w:val="22"/>
          <w:szCs w:val="22"/>
        </w:rPr>
      </w:pPr>
      <w:r w:rsidRPr="000F2F8C">
        <w:rPr>
          <w:color w:val="000000"/>
          <w:sz w:val="22"/>
          <w:szCs w:val="22"/>
        </w:rPr>
        <w:t xml:space="preserve">BBNJ Agreement provides an operational mechanism for enforcing UNCLOS Arts. 192, 194, and 206. </w:t>
      </w:r>
      <w:r w:rsidR="006C3488">
        <w:rPr>
          <w:color w:val="000000"/>
          <w:sz w:val="22"/>
          <w:szCs w:val="22"/>
        </w:rPr>
        <w:t>Part IV of the BBNJ Agreement</w:t>
      </w:r>
      <w:r w:rsidRPr="000F2F8C">
        <w:rPr>
          <w:color w:val="000000"/>
          <w:sz w:val="22"/>
          <w:szCs w:val="22"/>
        </w:rPr>
        <w:t xml:space="preserve"> establishes mandatory EIAs for activities with potential significant impacts on biodiversity in ABNJ—requirements that would certainly apply to any future CCS project in high</w:t>
      </w:r>
      <w:r w:rsidRPr="000F2F8C">
        <w:rPr>
          <w:color w:val="000000"/>
          <w:sz w:val="22"/>
          <w:szCs w:val="22"/>
        </w:rPr>
        <w:noBreakHyphen/>
        <w:t xml:space="preserve">seas geological formations. EIAs under BBNJ </w:t>
      </w:r>
      <w:r w:rsidR="006C3488">
        <w:rPr>
          <w:color w:val="000000"/>
          <w:sz w:val="22"/>
          <w:szCs w:val="22"/>
        </w:rPr>
        <w:t xml:space="preserve">Agreement </w:t>
      </w:r>
      <w:r w:rsidRPr="000F2F8C">
        <w:rPr>
          <w:color w:val="000000"/>
          <w:sz w:val="22"/>
          <w:szCs w:val="22"/>
        </w:rPr>
        <w:t>require consideration of cumulative impacts, application of the precautionary principle, and public disclosure, ensuring that CCS activities cannot proceed without comprehensive environmental oversight.</w:t>
      </w:r>
    </w:p>
    <w:p w14:paraId="5A6BAA84" w14:textId="77777777" w:rsidR="000F2F8C" w:rsidRPr="000F2F8C" w:rsidRDefault="000F2F8C" w:rsidP="000F2F8C">
      <w:pPr>
        <w:pBdr>
          <w:top w:val="nil"/>
          <w:left w:val="nil"/>
          <w:bottom w:val="nil"/>
          <w:right w:val="nil"/>
          <w:between w:val="nil"/>
        </w:pBdr>
        <w:tabs>
          <w:tab w:val="left" w:pos="504"/>
        </w:tabs>
        <w:spacing w:line="240" w:lineRule="auto"/>
        <w:ind w:left="0" w:hanging="2"/>
        <w:jc w:val="both"/>
        <w:rPr>
          <w:color w:val="000000"/>
          <w:sz w:val="22"/>
          <w:szCs w:val="22"/>
        </w:rPr>
      </w:pPr>
    </w:p>
    <w:p w14:paraId="2E193B8F" w14:textId="77777777" w:rsidR="000F2F8C" w:rsidRPr="000F2F8C" w:rsidRDefault="000F2F8C" w:rsidP="000F2F8C">
      <w:pPr>
        <w:pBdr>
          <w:top w:val="nil"/>
          <w:left w:val="nil"/>
          <w:bottom w:val="nil"/>
          <w:right w:val="nil"/>
          <w:between w:val="nil"/>
        </w:pBdr>
        <w:tabs>
          <w:tab w:val="left" w:pos="504"/>
        </w:tabs>
        <w:spacing w:line="240" w:lineRule="auto"/>
        <w:ind w:left="0" w:hanging="2"/>
        <w:jc w:val="both"/>
        <w:rPr>
          <w:i/>
          <w:iCs/>
          <w:color w:val="000000"/>
          <w:sz w:val="22"/>
          <w:szCs w:val="22"/>
        </w:rPr>
      </w:pPr>
      <w:r w:rsidRPr="000F2F8C">
        <w:rPr>
          <w:i/>
          <w:iCs/>
          <w:color w:val="000000"/>
          <w:sz w:val="22"/>
          <w:szCs w:val="22"/>
        </w:rPr>
        <w:t>B. ABMTs and MPAs Limit Where CCS Could Occur</w:t>
      </w:r>
    </w:p>
    <w:p w14:paraId="190E9F0A" w14:textId="55CB486F" w:rsidR="000F2F8C" w:rsidRDefault="000F2F8C" w:rsidP="000F2F8C">
      <w:pPr>
        <w:pBdr>
          <w:top w:val="nil"/>
          <w:left w:val="nil"/>
          <w:bottom w:val="nil"/>
          <w:right w:val="nil"/>
          <w:between w:val="nil"/>
        </w:pBdr>
        <w:tabs>
          <w:tab w:val="left" w:pos="504"/>
        </w:tabs>
        <w:spacing w:line="240" w:lineRule="auto"/>
        <w:ind w:left="0" w:hanging="2"/>
        <w:jc w:val="both"/>
        <w:rPr>
          <w:color w:val="000000"/>
          <w:sz w:val="22"/>
          <w:szCs w:val="22"/>
        </w:rPr>
      </w:pPr>
      <w:r w:rsidRPr="000F2F8C">
        <w:rPr>
          <w:color w:val="000000"/>
          <w:sz w:val="22"/>
          <w:szCs w:val="22"/>
        </w:rPr>
        <w:t>The BBNJ Agreement</w:t>
      </w:r>
      <w:r w:rsidR="008A3FE4">
        <w:rPr>
          <w:color w:val="000000"/>
          <w:sz w:val="22"/>
          <w:szCs w:val="22"/>
        </w:rPr>
        <w:t>, in part III,</w:t>
      </w:r>
      <w:r w:rsidRPr="000F2F8C">
        <w:rPr>
          <w:color w:val="000000"/>
          <w:sz w:val="22"/>
          <w:szCs w:val="22"/>
        </w:rPr>
        <w:t xml:space="preserve"> authorizes the creation of marine protected areas in ABNJ based on scientific recommendations. Given that offshore CCS may eventually require deep</w:t>
      </w:r>
      <w:r w:rsidRPr="000F2F8C">
        <w:rPr>
          <w:color w:val="000000"/>
          <w:sz w:val="22"/>
          <w:szCs w:val="22"/>
        </w:rPr>
        <w:noBreakHyphen/>
        <w:t>sea geological formations, spatial overlap with BBNJ</w:t>
      </w:r>
      <w:r w:rsidRPr="000F2F8C">
        <w:rPr>
          <w:color w:val="000000"/>
          <w:sz w:val="22"/>
          <w:szCs w:val="22"/>
        </w:rPr>
        <w:noBreakHyphen/>
        <w:t>designated MPAs could constrain or prohibit the siting of CCS injection sites. BBNJ’s ABMT regime therefore functions as a de facto zoning system for any future CCS activities</w:t>
      </w:r>
      <w:r w:rsidR="008541E7">
        <w:rPr>
          <w:color w:val="000000"/>
          <w:sz w:val="22"/>
          <w:szCs w:val="22"/>
        </w:rPr>
        <w:t xml:space="preserve"> (United Nations 1, 2024; Klerk, 2025)</w:t>
      </w:r>
      <w:r w:rsidRPr="000F2F8C">
        <w:rPr>
          <w:color w:val="000000"/>
          <w:sz w:val="22"/>
          <w:szCs w:val="22"/>
        </w:rPr>
        <w:t>.</w:t>
      </w:r>
    </w:p>
    <w:p w14:paraId="22CA6852" w14:textId="77777777" w:rsidR="000F2F8C" w:rsidRPr="000F2F8C" w:rsidRDefault="000F2F8C" w:rsidP="000F2F8C">
      <w:pPr>
        <w:pBdr>
          <w:top w:val="nil"/>
          <w:left w:val="nil"/>
          <w:bottom w:val="nil"/>
          <w:right w:val="nil"/>
          <w:between w:val="nil"/>
        </w:pBdr>
        <w:tabs>
          <w:tab w:val="left" w:pos="504"/>
        </w:tabs>
        <w:spacing w:line="240" w:lineRule="auto"/>
        <w:ind w:left="0" w:hanging="2"/>
        <w:jc w:val="both"/>
        <w:rPr>
          <w:color w:val="000000"/>
          <w:sz w:val="22"/>
          <w:szCs w:val="22"/>
        </w:rPr>
      </w:pPr>
    </w:p>
    <w:p w14:paraId="60F7FE0D" w14:textId="77777777" w:rsidR="000F2F8C" w:rsidRPr="000F2F8C" w:rsidRDefault="000F2F8C" w:rsidP="000F2F8C">
      <w:pPr>
        <w:pBdr>
          <w:top w:val="nil"/>
          <w:left w:val="nil"/>
          <w:bottom w:val="nil"/>
          <w:right w:val="nil"/>
          <w:between w:val="nil"/>
        </w:pBdr>
        <w:tabs>
          <w:tab w:val="left" w:pos="504"/>
        </w:tabs>
        <w:spacing w:line="240" w:lineRule="auto"/>
        <w:ind w:left="0" w:hanging="2"/>
        <w:jc w:val="both"/>
        <w:rPr>
          <w:i/>
          <w:iCs/>
          <w:color w:val="000000"/>
          <w:sz w:val="22"/>
          <w:szCs w:val="22"/>
        </w:rPr>
      </w:pPr>
      <w:r w:rsidRPr="000F2F8C">
        <w:rPr>
          <w:i/>
          <w:iCs/>
          <w:color w:val="000000"/>
          <w:sz w:val="22"/>
          <w:szCs w:val="22"/>
        </w:rPr>
        <w:t>C. Strengthening Monitoring Through BBNJ Institutional Mechanisms</w:t>
      </w:r>
    </w:p>
    <w:p w14:paraId="24DA1423" w14:textId="3E6D7D7B" w:rsidR="000F2F8C" w:rsidRDefault="000F2F8C" w:rsidP="000F2F8C">
      <w:pPr>
        <w:pBdr>
          <w:top w:val="nil"/>
          <w:left w:val="nil"/>
          <w:bottom w:val="nil"/>
          <w:right w:val="nil"/>
          <w:between w:val="nil"/>
        </w:pBdr>
        <w:tabs>
          <w:tab w:val="left" w:pos="504"/>
        </w:tabs>
        <w:spacing w:line="240" w:lineRule="auto"/>
        <w:ind w:left="0" w:hanging="2"/>
        <w:jc w:val="both"/>
        <w:rPr>
          <w:color w:val="000000"/>
          <w:sz w:val="22"/>
          <w:szCs w:val="22"/>
        </w:rPr>
      </w:pPr>
      <w:r w:rsidRPr="000F2F8C">
        <w:rPr>
          <w:color w:val="000000"/>
          <w:sz w:val="22"/>
          <w:szCs w:val="22"/>
        </w:rPr>
        <w:t>Monitoring offshore CCS is technically challenging due to the need for specialized vessels, subsurface imaging, and long</w:t>
      </w:r>
      <w:r w:rsidRPr="000F2F8C">
        <w:rPr>
          <w:color w:val="000000"/>
          <w:sz w:val="22"/>
          <w:szCs w:val="22"/>
        </w:rPr>
        <w:noBreakHyphen/>
        <w:t>term data collection, all of which remain inconsistently regulated. The BBNJ Agreement’s</w:t>
      </w:r>
      <w:r w:rsidR="009175CA">
        <w:rPr>
          <w:color w:val="000000"/>
          <w:sz w:val="22"/>
          <w:szCs w:val="22"/>
        </w:rPr>
        <w:t xml:space="preserve"> Part V sets out</w:t>
      </w:r>
      <w:r w:rsidRPr="000F2F8C">
        <w:rPr>
          <w:color w:val="000000"/>
          <w:sz w:val="22"/>
          <w:szCs w:val="22"/>
        </w:rPr>
        <w:t xml:space="preserve"> requirements for international scientific cooperation, data sharing, and capacity</w:t>
      </w:r>
      <w:r w:rsidRPr="000F2F8C">
        <w:rPr>
          <w:color w:val="000000"/>
          <w:sz w:val="22"/>
          <w:szCs w:val="22"/>
        </w:rPr>
        <w:noBreakHyphen/>
        <w:t>building enhance global monitoring capabilities and provide a governance platform well</w:t>
      </w:r>
      <w:r w:rsidRPr="000F2F8C">
        <w:rPr>
          <w:color w:val="000000"/>
          <w:sz w:val="22"/>
          <w:szCs w:val="22"/>
        </w:rPr>
        <w:noBreakHyphen/>
        <w:t>suited for supervising CCS activities in ABNJ</w:t>
      </w:r>
      <w:r w:rsidR="001677A1">
        <w:rPr>
          <w:color w:val="000000"/>
          <w:sz w:val="22"/>
          <w:szCs w:val="22"/>
        </w:rPr>
        <w:t xml:space="preserve">. </w:t>
      </w:r>
    </w:p>
    <w:p w14:paraId="0883DB3E" w14:textId="77777777" w:rsidR="000F2F8C" w:rsidRPr="000F2F8C" w:rsidRDefault="000F2F8C" w:rsidP="009175CA">
      <w:pPr>
        <w:pBdr>
          <w:top w:val="nil"/>
          <w:left w:val="nil"/>
          <w:bottom w:val="nil"/>
          <w:right w:val="nil"/>
          <w:between w:val="nil"/>
        </w:pBdr>
        <w:tabs>
          <w:tab w:val="left" w:pos="504"/>
        </w:tabs>
        <w:spacing w:line="240" w:lineRule="auto"/>
        <w:ind w:leftChars="0" w:left="0" w:firstLineChars="0" w:firstLine="0"/>
        <w:jc w:val="both"/>
        <w:rPr>
          <w:color w:val="000000"/>
          <w:sz w:val="22"/>
          <w:szCs w:val="22"/>
        </w:rPr>
      </w:pPr>
    </w:p>
    <w:p w14:paraId="5D434D44" w14:textId="77777777" w:rsidR="000F2F8C" w:rsidRPr="000F2F8C" w:rsidRDefault="000F2F8C" w:rsidP="000F2F8C">
      <w:pPr>
        <w:pBdr>
          <w:top w:val="nil"/>
          <w:left w:val="nil"/>
          <w:bottom w:val="nil"/>
          <w:right w:val="nil"/>
          <w:between w:val="nil"/>
        </w:pBdr>
        <w:tabs>
          <w:tab w:val="left" w:pos="504"/>
        </w:tabs>
        <w:spacing w:line="240" w:lineRule="auto"/>
        <w:ind w:left="0" w:hanging="2"/>
        <w:jc w:val="both"/>
        <w:rPr>
          <w:i/>
          <w:iCs/>
          <w:color w:val="000000"/>
          <w:sz w:val="22"/>
          <w:szCs w:val="22"/>
        </w:rPr>
      </w:pPr>
      <w:r w:rsidRPr="000F2F8C">
        <w:rPr>
          <w:i/>
          <w:iCs/>
          <w:color w:val="000000"/>
          <w:sz w:val="22"/>
          <w:szCs w:val="22"/>
        </w:rPr>
        <w:t>D. Anticipatory Governance for a Rapidly Expanding CCS Industry</w:t>
      </w:r>
    </w:p>
    <w:p w14:paraId="79F81FA3" w14:textId="48CE99A2" w:rsidR="000F2F8C" w:rsidRPr="000F2F8C" w:rsidRDefault="000F2F8C" w:rsidP="000F2F8C">
      <w:pPr>
        <w:pBdr>
          <w:top w:val="nil"/>
          <w:left w:val="nil"/>
          <w:bottom w:val="nil"/>
          <w:right w:val="nil"/>
          <w:between w:val="nil"/>
        </w:pBdr>
        <w:tabs>
          <w:tab w:val="left" w:pos="504"/>
        </w:tabs>
        <w:spacing w:line="240" w:lineRule="auto"/>
        <w:ind w:left="0" w:hanging="2"/>
        <w:jc w:val="both"/>
        <w:rPr>
          <w:color w:val="000000"/>
          <w:sz w:val="22"/>
          <w:szCs w:val="22"/>
        </w:rPr>
      </w:pPr>
      <w:r w:rsidRPr="000F2F8C">
        <w:rPr>
          <w:color w:val="000000"/>
          <w:sz w:val="22"/>
          <w:szCs w:val="22"/>
        </w:rPr>
        <w:t>As storage demand grows and near</w:t>
      </w:r>
      <w:r w:rsidRPr="000F2F8C">
        <w:rPr>
          <w:color w:val="000000"/>
          <w:sz w:val="22"/>
          <w:szCs w:val="22"/>
        </w:rPr>
        <w:noBreakHyphen/>
        <w:t>coastal reservoirs become saturated, interest in ABNJ geological formations may emerge. The BBNJ Agreement thus serves as a forward</w:t>
      </w:r>
      <w:r w:rsidRPr="000F2F8C">
        <w:rPr>
          <w:color w:val="000000"/>
          <w:sz w:val="22"/>
          <w:szCs w:val="22"/>
        </w:rPr>
        <w:noBreakHyphen/>
        <w:t>looking governance regime that prevents a legal vacuum and ensures that CCS operations—should they eventually move into ABNJ—are regulated under robust biodiversity</w:t>
      </w:r>
      <w:r w:rsidRPr="000F2F8C">
        <w:rPr>
          <w:color w:val="000000"/>
          <w:sz w:val="22"/>
          <w:szCs w:val="22"/>
        </w:rPr>
        <w:noBreakHyphen/>
        <w:t>protection obligations</w:t>
      </w:r>
      <w:r w:rsidR="008541E7">
        <w:rPr>
          <w:color w:val="000000"/>
          <w:sz w:val="22"/>
          <w:szCs w:val="22"/>
        </w:rPr>
        <w:t xml:space="preserve"> (</w:t>
      </w:r>
      <w:r w:rsidR="008541E7" w:rsidRPr="008541E7">
        <w:rPr>
          <w:color w:val="000000"/>
          <w:sz w:val="22"/>
          <w:szCs w:val="22"/>
        </w:rPr>
        <w:t>Global CCS Institute</w:t>
      </w:r>
      <w:r w:rsidR="008541E7">
        <w:rPr>
          <w:color w:val="000000"/>
          <w:sz w:val="22"/>
          <w:szCs w:val="22"/>
        </w:rPr>
        <w:t>, 2025).</w:t>
      </w:r>
    </w:p>
    <w:p w14:paraId="47DF3483" w14:textId="77777777" w:rsidR="000F2F8C" w:rsidRDefault="000F2F8C" w:rsidP="000F2F8C">
      <w:pPr>
        <w:pBdr>
          <w:top w:val="nil"/>
          <w:left w:val="nil"/>
          <w:bottom w:val="nil"/>
          <w:right w:val="nil"/>
          <w:between w:val="nil"/>
        </w:pBdr>
        <w:tabs>
          <w:tab w:val="left" w:pos="504"/>
        </w:tabs>
        <w:spacing w:line="240" w:lineRule="auto"/>
        <w:ind w:leftChars="0" w:left="0" w:firstLineChars="0" w:firstLine="0"/>
        <w:rPr>
          <w:b/>
          <w:color w:val="000000"/>
          <w:sz w:val="22"/>
          <w:szCs w:val="22"/>
        </w:rPr>
      </w:pPr>
    </w:p>
    <w:p w14:paraId="2E01D90B" w14:textId="77777777" w:rsidR="00B022E6" w:rsidRDefault="00F05F88">
      <w:pPr>
        <w:pBdr>
          <w:top w:val="nil"/>
          <w:left w:val="nil"/>
          <w:bottom w:val="nil"/>
          <w:right w:val="nil"/>
          <w:between w:val="nil"/>
        </w:pBdr>
        <w:tabs>
          <w:tab w:val="left" w:pos="504"/>
        </w:tabs>
        <w:spacing w:line="240" w:lineRule="auto"/>
        <w:ind w:left="0" w:hanging="2"/>
        <w:rPr>
          <w:b/>
          <w:color w:val="000000"/>
          <w:sz w:val="22"/>
          <w:szCs w:val="22"/>
        </w:rPr>
      </w:pPr>
      <w:bookmarkStart w:id="2" w:name="bookmark=id.4d34og8" w:colFirst="0" w:colLast="0"/>
      <w:bookmarkEnd w:id="2"/>
      <w:r>
        <w:rPr>
          <w:b/>
          <w:color w:val="000000"/>
          <w:sz w:val="22"/>
          <w:szCs w:val="22"/>
        </w:rPr>
        <w:t>Conclusions</w:t>
      </w:r>
      <w:bookmarkStart w:id="3" w:name="bookmark=id.2s8eyo1" w:colFirst="0" w:colLast="0"/>
      <w:bookmarkEnd w:id="3"/>
    </w:p>
    <w:p w14:paraId="6DDB7B22" w14:textId="085A250C" w:rsidR="000F2F8C" w:rsidRDefault="000F2F8C" w:rsidP="000F2F8C">
      <w:pPr>
        <w:pBdr>
          <w:top w:val="nil"/>
          <w:left w:val="nil"/>
          <w:bottom w:val="nil"/>
          <w:right w:val="nil"/>
          <w:between w:val="nil"/>
        </w:pBdr>
        <w:tabs>
          <w:tab w:val="left" w:pos="504"/>
        </w:tabs>
        <w:spacing w:line="240" w:lineRule="auto"/>
        <w:ind w:leftChars="0" w:left="0" w:firstLineChars="0" w:firstLine="0"/>
        <w:rPr>
          <w:color w:val="000000"/>
          <w:sz w:val="22"/>
          <w:szCs w:val="22"/>
        </w:rPr>
      </w:pPr>
      <w:r w:rsidRPr="000F2F8C">
        <w:rPr>
          <w:color w:val="000000"/>
          <w:sz w:val="22"/>
          <w:szCs w:val="22"/>
        </w:rPr>
        <w:t xml:space="preserve">This </w:t>
      </w:r>
      <w:r w:rsidR="00F00CF2">
        <w:rPr>
          <w:color w:val="000000"/>
          <w:sz w:val="22"/>
          <w:szCs w:val="22"/>
        </w:rPr>
        <w:t>abstract</w:t>
      </w:r>
      <w:r w:rsidRPr="000F2F8C">
        <w:rPr>
          <w:color w:val="000000"/>
          <w:sz w:val="22"/>
          <w:szCs w:val="22"/>
        </w:rPr>
        <w:t xml:space="preserve"> shows that while high</w:t>
      </w:r>
      <w:r w:rsidRPr="000F2F8C">
        <w:rPr>
          <w:color w:val="000000"/>
          <w:sz w:val="22"/>
          <w:szCs w:val="22"/>
        </w:rPr>
        <w:noBreakHyphen/>
        <w:t>seas CCS does not yet exist, the rapid expansion of offshore CCS and the emergence of multinational CO₂ transport networks make ABNJ an increasingly relevant future arena for CCS deployment. The BBNJ Agreement fills a critical governance gap by operationalizing UNCLOS environmental obligations, providing mandatory EIA procedures, enabling spatial protections through ABMTs and MPAs, and establishing institutional mechanisms for scientific cooperation and oversight.</w:t>
      </w:r>
      <w:r w:rsidR="00375585">
        <w:rPr>
          <w:color w:val="000000"/>
          <w:sz w:val="22"/>
          <w:szCs w:val="22"/>
        </w:rPr>
        <w:t xml:space="preserve"> </w:t>
      </w:r>
      <w:r w:rsidR="00375585" w:rsidRPr="00375585">
        <w:rPr>
          <w:color w:val="000000"/>
          <w:sz w:val="22"/>
          <w:szCs w:val="22"/>
        </w:rPr>
        <w:t>In practice, this means the BBNJ Agreement will increasingly shape national CCS permitting by imposing high</w:t>
      </w:r>
      <w:r w:rsidR="00375585" w:rsidRPr="00375585">
        <w:rPr>
          <w:color w:val="000000"/>
          <w:sz w:val="22"/>
          <w:szCs w:val="22"/>
        </w:rPr>
        <w:noBreakHyphen/>
        <w:t>seas</w:t>
      </w:r>
      <w:r w:rsidR="00375585" w:rsidRPr="00375585">
        <w:rPr>
          <w:color w:val="000000"/>
          <w:sz w:val="22"/>
          <w:szCs w:val="22"/>
        </w:rPr>
        <w:noBreakHyphen/>
        <w:t>relevant EIA, monitoring, and biodiversity safeguards on coastal state decision</w:t>
      </w:r>
      <w:r w:rsidR="00375585" w:rsidRPr="00375585">
        <w:rPr>
          <w:color w:val="000000"/>
          <w:sz w:val="22"/>
          <w:szCs w:val="22"/>
        </w:rPr>
        <w:noBreakHyphen/>
        <w:t>making.</w:t>
      </w:r>
    </w:p>
    <w:p w14:paraId="03DBF56A" w14:textId="77777777" w:rsidR="000F2F8C" w:rsidRPr="000F2F8C" w:rsidRDefault="000F2F8C" w:rsidP="000F2F8C">
      <w:pPr>
        <w:pBdr>
          <w:top w:val="nil"/>
          <w:left w:val="nil"/>
          <w:bottom w:val="nil"/>
          <w:right w:val="nil"/>
          <w:between w:val="nil"/>
        </w:pBdr>
        <w:tabs>
          <w:tab w:val="left" w:pos="504"/>
        </w:tabs>
        <w:spacing w:line="240" w:lineRule="auto"/>
        <w:ind w:leftChars="0" w:left="0" w:firstLineChars="0" w:firstLine="0"/>
        <w:rPr>
          <w:color w:val="000000"/>
          <w:sz w:val="22"/>
          <w:szCs w:val="22"/>
        </w:rPr>
      </w:pPr>
    </w:p>
    <w:p w14:paraId="180FB43A" w14:textId="49AE959D" w:rsidR="000F2F8C" w:rsidRPr="000F2F8C" w:rsidRDefault="000F2F8C" w:rsidP="000F2F8C">
      <w:pPr>
        <w:pBdr>
          <w:top w:val="nil"/>
          <w:left w:val="nil"/>
          <w:bottom w:val="nil"/>
          <w:right w:val="nil"/>
          <w:between w:val="nil"/>
        </w:pBdr>
        <w:tabs>
          <w:tab w:val="left" w:pos="504"/>
        </w:tabs>
        <w:spacing w:line="240" w:lineRule="auto"/>
        <w:ind w:left="0" w:hanging="2"/>
        <w:rPr>
          <w:color w:val="000000"/>
          <w:sz w:val="22"/>
          <w:szCs w:val="22"/>
        </w:rPr>
      </w:pPr>
      <w:r w:rsidRPr="000F2F8C">
        <w:rPr>
          <w:color w:val="000000"/>
          <w:sz w:val="22"/>
          <w:szCs w:val="22"/>
        </w:rPr>
        <w:t>As CCS technologies expand globally, the BBNJ Agreement will likely become the principal governance instrument for regulating CCS activities in ABNJ. Ensuring that future CCS deployment aligns with international biodiversity</w:t>
      </w:r>
      <w:r w:rsidRPr="000F2F8C">
        <w:rPr>
          <w:color w:val="000000"/>
          <w:sz w:val="22"/>
          <w:szCs w:val="22"/>
        </w:rPr>
        <w:noBreakHyphen/>
        <w:t>protection obligations requires integrating BBNJ principles with existing CCS frameworks under the London Protocol and domestic CCS legislation. The BBNJ Agreement therefore represents a necessary and forward</w:t>
      </w:r>
      <w:r w:rsidRPr="000F2F8C">
        <w:rPr>
          <w:color w:val="000000"/>
          <w:sz w:val="22"/>
          <w:szCs w:val="22"/>
        </w:rPr>
        <w:noBreakHyphen/>
        <w:t>looking legal foundation for reconciling climate</w:t>
      </w:r>
      <w:r w:rsidRPr="000F2F8C">
        <w:rPr>
          <w:color w:val="000000"/>
          <w:sz w:val="22"/>
          <w:szCs w:val="22"/>
        </w:rPr>
        <w:noBreakHyphen/>
        <w:t>mitigation technologies with the protection of marine biodiversity in the global commons</w:t>
      </w:r>
      <w:r w:rsidR="0089312D">
        <w:rPr>
          <w:color w:val="000000"/>
          <w:sz w:val="22"/>
          <w:szCs w:val="22"/>
        </w:rPr>
        <w:t xml:space="preserve"> (</w:t>
      </w:r>
      <w:r w:rsidR="0089312D" w:rsidRPr="0089312D">
        <w:rPr>
          <w:color w:val="000000"/>
          <w:sz w:val="22"/>
          <w:szCs w:val="22"/>
        </w:rPr>
        <w:t>Harrison et al</w:t>
      </w:r>
      <w:r w:rsidR="00B25588">
        <w:rPr>
          <w:color w:val="000000"/>
          <w:sz w:val="22"/>
          <w:szCs w:val="22"/>
        </w:rPr>
        <w:t>, 202</w:t>
      </w:r>
      <w:r w:rsidR="000223CC">
        <w:rPr>
          <w:color w:val="000000"/>
          <w:sz w:val="22"/>
          <w:szCs w:val="22"/>
        </w:rPr>
        <w:t>4</w:t>
      </w:r>
      <w:r w:rsidR="0095393C">
        <w:rPr>
          <w:color w:val="000000"/>
          <w:sz w:val="22"/>
          <w:szCs w:val="22"/>
        </w:rPr>
        <w:t>)</w:t>
      </w:r>
      <w:r w:rsidRPr="000F2F8C">
        <w:rPr>
          <w:color w:val="000000"/>
          <w:sz w:val="22"/>
          <w:szCs w:val="22"/>
        </w:rPr>
        <w:t>.</w:t>
      </w:r>
    </w:p>
    <w:p w14:paraId="50B97F55" w14:textId="77777777" w:rsidR="00B022E6" w:rsidRDefault="00B022E6">
      <w:pPr>
        <w:pBdr>
          <w:top w:val="nil"/>
          <w:left w:val="nil"/>
          <w:bottom w:val="nil"/>
          <w:right w:val="nil"/>
          <w:between w:val="nil"/>
        </w:pBdr>
        <w:tabs>
          <w:tab w:val="left" w:pos="504"/>
        </w:tabs>
        <w:spacing w:line="240" w:lineRule="auto"/>
        <w:ind w:left="0" w:hanging="2"/>
        <w:rPr>
          <w:b/>
          <w:color w:val="000000"/>
          <w:sz w:val="22"/>
          <w:szCs w:val="22"/>
        </w:rPr>
      </w:pPr>
    </w:p>
    <w:p w14:paraId="796080BA" w14:textId="1182D51B" w:rsidR="00B022E6" w:rsidRDefault="00B022E6" w:rsidP="33EC5C17">
      <w:pPr>
        <w:pBdr>
          <w:top w:val="nil"/>
          <w:left w:val="nil"/>
          <w:bottom w:val="nil"/>
          <w:right w:val="nil"/>
          <w:between w:val="nil"/>
        </w:pBdr>
        <w:tabs>
          <w:tab w:val="left" w:pos="504"/>
        </w:tabs>
        <w:spacing w:line="240" w:lineRule="auto"/>
        <w:ind w:left="0" w:hanging="2"/>
        <w:rPr>
          <w:b/>
          <w:bCs/>
          <w:color w:val="000000"/>
          <w:sz w:val="22"/>
          <w:szCs w:val="22"/>
        </w:rPr>
      </w:pPr>
    </w:p>
    <w:p w14:paraId="063750A4" w14:textId="77777777" w:rsidR="00B022E6" w:rsidRDefault="00F05F88">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References</w:t>
      </w:r>
    </w:p>
    <w:p w14:paraId="02343DFF" w14:textId="77777777" w:rsidR="00CC7B96" w:rsidRPr="002A650F" w:rsidRDefault="00CC7B96" w:rsidP="002A650F">
      <w:pPr>
        <w:pStyle w:val="ListParagraph"/>
        <w:numPr>
          <w:ilvl w:val="0"/>
          <w:numId w:val="8"/>
        </w:numPr>
        <w:ind w:leftChars="0" w:firstLineChars="0"/>
        <w:jc w:val="both"/>
        <w:rPr>
          <w:sz w:val="22"/>
          <w:szCs w:val="22"/>
        </w:rPr>
      </w:pPr>
      <w:r w:rsidRPr="002A650F">
        <w:rPr>
          <w:sz w:val="22"/>
          <w:szCs w:val="22"/>
        </w:rPr>
        <w:t xml:space="preserve">Bastiaan E. Klerk, “A Sheep in Wolf’s Clothing?” Ocean Development &amp; International Law (2025), </w:t>
      </w:r>
      <w:hyperlink r:id="rId10" w:history="1">
        <w:r w:rsidRPr="002A650F">
          <w:rPr>
            <w:rStyle w:val="Hyperlink"/>
            <w:sz w:val="22"/>
            <w:szCs w:val="22"/>
          </w:rPr>
          <w:t>https://doi.org/10.1080/00908320.2024.2435291</w:t>
        </w:r>
      </w:hyperlink>
      <w:r w:rsidRPr="002A650F">
        <w:rPr>
          <w:sz w:val="22"/>
          <w:szCs w:val="22"/>
        </w:rPr>
        <w:t>.</w:t>
      </w:r>
    </w:p>
    <w:p w14:paraId="293B10A4" w14:textId="77777777" w:rsidR="00CC7B96" w:rsidRPr="002A650F" w:rsidRDefault="00CC7B96" w:rsidP="002A650F">
      <w:pPr>
        <w:pStyle w:val="ListParagraph"/>
        <w:numPr>
          <w:ilvl w:val="0"/>
          <w:numId w:val="8"/>
        </w:numPr>
        <w:ind w:leftChars="0" w:firstLineChars="0"/>
        <w:jc w:val="both"/>
        <w:rPr>
          <w:sz w:val="22"/>
          <w:szCs w:val="22"/>
        </w:rPr>
      </w:pPr>
      <w:r w:rsidRPr="002A650F">
        <w:rPr>
          <w:sz w:val="22"/>
          <w:szCs w:val="22"/>
        </w:rPr>
        <w:t xml:space="preserve">Branco de Almeida, L. (2022) ‘The international law of energy of offshore carbon capture and storage: The </w:t>
      </w:r>
      <w:proofErr w:type="spellStart"/>
      <w:r w:rsidRPr="002A650F">
        <w:rPr>
          <w:sz w:val="22"/>
          <w:szCs w:val="22"/>
        </w:rPr>
        <w:t>rotterdam</w:t>
      </w:r>
      <w:proofErr w:type="spellEnd"/>
      <w:r w:rsidRPr="002A650F">
        <w:rPr>
          <w:sz w:val="22"/>
          <w:szCs w:val="22"/>
        </w:rPr>
        <w:t xml:space="preserve"> nucleus project case study’, Environmental Law Review, 24(1), pp. 10–26. doi:10.1177/14614529221080037. </w:t>
      </w:r>
    </w:p>
    <w:p w14:paraId="59FA357A" w14:textId="77777777" w:rsidR="00CC7B96" w:rsidRPr="002A650F" w:rsidRDefault="00CC7B96" w:rsidP="002A650F">
      <w:pPr>
        <w:pStyle w:val="ListParagraph"/>
        <w:numPr>
          <w:ilvl w:val="0"/>
          <w:numId w:val="8"/>
        </w:numPr>
        <w:ind w:leftChars="0" w:firstLineChars="0"/>
        <w:jc w:val="both"/>
        <w:rPr>
          <w:sz w:val="22"/>
          <w:szCs w:val="22"/>
        </w:rPr>
      </w:pPr>
      <w:r w:rsidRPr="002A650F">
        <w:rPr>
          <w:sz w:val="22"/>
          <w:szCs w:val="22"/>
        </w:rPr>
        <w:t xml:space="preserve">Center for International Environmental Law, “Deep Trouble: The Risks of Offshore Carbon Capture and Storage” (June 2023), </w:t>
      </w:r>
      <w:hyperlink r:id="rId11" w:history="1">
        <w:r w:rsidRPr="002A650F">
          <w:rPr>
            <w:rStyle w:val="Hyperlink"/>
            <w:sz w:val="22"/>
            <w:szCs w:val="22"/>
          </w:rPr>
          <w:t>https://www.ciel.org/wp-content/uploads/2023/06/CIEL_brief_Deep-Trouble-The-Risks-of-Offshore-Carbon-Capture-and-Storage_June2023.pdf</w:t>
        </w:r>
      </w:hyperlink>
    </w:p>
    <w:p w14:paraId="6EE26840" w14:textId="77777777" w:rsidR="00CC7B96" w:rsidRPr="002A650F" w:rsidRDefault="00CC7B96" w:rsidP="002A650F">
      <w:pPr>
        <w:pStyle w:val="ListParagraph"/>
        <w:numPr>
          <w:ilvl w:val="0"/>
          <w:numId w:val="8"/>
        </w:numPr>
        <w:ind w:leftChars="0" w:firstLineChars="0"/>
        <w:jc w:val="both"/>
        <w:rPr>
          <w:sz w:val="22"/>
          <w:szCs w:val="22"/>
        </w:rPr>
      </w:pPr>
      <w:r w:rsidRPr="002A650F">
        <w:rPr>
          <w:sz w:val="22"/>
          <w:szCs w:val="22"/>
        </w:rPr>
        <w:t xml:space="preserve">Daniela Diz et al., “Area-Based Management Tools Under the BBNJ Agreement: Towards Effective and Equitable International Implementation,” BBNJ Implementation Policy Brief No. 3 (Edinburgh Law School, 2024), https://www.law.ed.ac.uk/sites/default/files/2024-07/ABMT%20Final%20Brief.pdf. </w:t>
      </w:r>
    </w:p>
    <w:p w14:paraId="7EC664C5" w14:textId="77777777" w:rsidR="00CC7B96" w:rsidRPr="002A650F" w:rsidRDefault="00CC7B96" w:rsidP="002A650F">
      <w:pPr>
        <w:pStyle w:val="ListParagraph"/>
        <w:numPr>
          <w:ilvl w:val="0"/>
          <w:numId w:val="8"/>
        </w:numPr>
        <w:ind w:leftChars="0" w:firstLineChars="0"/>
        <w:jc w:val="both"/>
        <w:rPr>
          <w:sz w:val="22"/>
          <w:szCs w:val="22"/>
        </w:rPr>
      </w:pPr>
      <w:r w:rsidRPr="002A650F">
        <w:rPr>
          <w:sz w:val="22"/>
          <w:szCs w:val="22"/>
        </w:rPr>
        <w:t>Documents/LP.1%281%29.pdf</w:t>
      </w:r>
    </w:p>
    <w:p w14:paraId="1C14CDC8" w14:textId="77777777" w:rsidR="00CC7B96" w:rsidRPr="002A650F" w:rsidRDefault="00CC7B96" w:rsidP="002A650F">
      <w:pPr>
        <w:pStyle w:val="ListParagraph"/>
        <w:numPr>
          <w:ilvl w:val="0"/>
          <w:numId w:val="8"/>
        </w:numPr>
        <w:ind w:leftChars="0" w:firstLineChars="0"/>
        <w:jc w:val="both"/>
        <w:rPr>
          <w:sz w:val="22"/>
          <w:szCs w:val="22"/>
        </w:rPr>
      </w:pPr>
      <w:r w:rsidRPr="002A650F">
        <w:rPr>
          <w:sz w:val="22"/>
          <w:szCs w:val="22"/>
        </w:rPr>
        <w:t xml:space="preserve">Global CCS Institute, “Needs, Opportunities and Prospects for CO₂ Shipping in CCS Projects” (November 2025), https://www.globalccsinstitute.com/wp-content/uploads/2025/11/Global-CCS-Institute-Needs-Opportunities-and-Prospects-for-CO2-Shipping-in-CCS-Projects.pdf </w:t>
      </w:r>
    </w:p>
    <w:p w14:paraId="65274101" w14:textId="77777777" w:rsidR="00CC7B96" w:rsidRPr="002A650F" w:rsidRDefault="00CC7B96" w:rsidP="002A650F">
      <w:pPr>
        <w:pStyle w:val="ListParagraph"/>
        <w:numPr>
          <w:ilvl w:val="0"/>
          <w:numId w:val="8"/>
        </w:numPr>
        <w:ind w:leftChars="0" w:firstLineChars="0"/>
        <w:jc w:val="both"/>
        <w:rPr>
          <w:sz w:val="22"/>
          <w:szCs w:val="22"/>
        </w:rPr>
      </w:pPr>
      <w:r w:rsidRPr="002A650F">
        <w:rPr>
          <w:sz w:val="22"/>
          <w:szCs w:val="22"/>
        </w:rPr>
        <w:t xml:space="preserve">Harrison et al., “Environmental Impact Assessment and Monitoring Under the BBNJ Agreement: Towards Effective and Equitable International Implementation (Policy Brief)” BBNJ Implementation Policy Brief No. 3 (Edinburgh Law School, 2024), https://www.law.ed.ac.uk/sites/default/files/2024-07/ABMT%20Final%20Brief.pdf. </w:t>
      </w:r>
    </w:p>
    <w:p w14:paraId="2DF5AAEA" w14:textId="77777777" w:rsidR="00CC7B96" w:rsidRPr="002A650F" w:rsidRDefault="00CC7B96" w:rsidP="002A650F">
      <w:pPr>
        <w:pStyle w:val="ListParagraph"/>
        <w:numPr>
          <w:ilvl w:val="0"/>
          <w:numId w:val="8"/>
        </w:numPr>
        <w:ind w:leftChars="0" w:firstLineChars="0"/>
        <w:jc w:val="both"/>
        <w:rPr>
          <w:sz w:val="22"/>
          <w:szCs w:val="22"/>
        </w:rPr>
      </w:pPr>
      <w:r w:rsidRPr="002A650F">
        <w:rPr>
          <w:sz w:val="22"/>
          <w:szCs w:val="22"/>
        </w:rPr>
        <w:t xml:space="preserve">International Energy Agency (IEAGHG), “Exporting CO₂ for Offshore Storage – The London Protocol’s Export Amendment and Associated Guidelines and Guidance,” Technical Review 2021-TR02, April 2021, </w:t>
      </w:r>
      <w:hyperlink r:id="rId12" w:history="1">
        <w:r w:rsidRPr="002A650F">
          <w:rPr>
            <w:rStyle w:val="Hyperlink"/>
            <w:sz w:val="22"/>
            <w:szCs w:val="22"/>
          </w:rPr>
          <w:t>https:</w:t>
        </w:r>
        <w:r w:rsidRPr="002A650F">
          <w:rPr>
            <w:rStyle w:val="Hyperlink"/>
            <w:sz w:val="22"/>
            <w:szCs w:val="22"/>
          </w:rPr>
          <w:t>/</w:t>
        </w:r>
        <w:r w:rsidRPr="002A650F">
          <w:rPr>
            <w:rStyle w:val="Hyperlink"/>
            <w:sz w:val="22"/>
            <w:szCs w:val="22"/>
          </w:rPr>
          <w:t>/www.club-co2.fr/files/2021/04/IEAGHG-2021-TR02-Exporting-CO2-for-Offshore-Storage-The-London-Protocol-s-Export-Amendment-and-Associated-Guidelines-and-Guidance.pdf</w:t>
        </w:r>
      </w:hyperlink>
      <w:r w:rsidRPr="002A650F">
        <w:rPr>
          <w:sz w:val="22"/>
          <w:szCs w:val="22"/>
        </w:rPr>
        <w:t xml:space="preserve">. </w:t>
      </w:r>
    </w:p>
    <w:p w14:paraId="44AAADE5" w14:textId="77777777" w:rsidR="00CC7B96" w:rsidRPr="002A650F" w:rsidRDefault="00CC7B96" w:rsidP="002A650F">
      <w:pPr>
        <w:pStyle w:val="ListParagraph"/>
        <w:numPr>
          <w:ilvl w:val="0"/>
          <w:numId w:val="8"/>
        </w:numPr>
        <w:ind w:leftChars="0" w:firstLineChars="0"/>
        <w:jc w:val="both"/>
        <w:rPr>
          <w:sz w:val="22"/>
          <w:szCs w:val="22"/>
        </w:rPr>
      </w:pPr>
      <w:r w:rsidRPr="002A650F">
        <w:rPr>
          <w:sz w:val="22"/>
          <w:szCs w:val="22"/>
        </w:rPr>
        <w:t xml:space="preserve">International Energy Agency, “Environmental monitoring of offshore CCS,” November 17, 2020, </w:t>
      </w:r>
      <w:hyperlink r:id="rId13" w:history="1">
        <w:r w:rsidRPr="002A650F">
          <w:rPr>
            <w:rStyle w:val="Hyperlink"/>
            <w:sz w:val="22"/>
            <w:szCs w:val="22"/>
          </w:rPr>
          <w:t>https://www.iea.org/articles/environmental-monitoring-of-offshore-carbon-capture-and-storage</w:t>
        </w:r>
      </w:hyperlink>
    </w:p>
    <w:p w14:paraId="62DE10B1" w14:textId="77777777" w:rsidR="00CC7B96" w:rsidRPr="002A650F" w:rsidRDefault="00CC7B96" w:rsidP="002A650F">
      <w:pPr>
        <w:pStyle w:val="ListParagraph"/>
        <w:numPr>
          <w:ilvl w:val="0"/>
          <w:numId w:val="8"/>
        </w:numPr>
        <w:ind w:leftChars="0" w:firstLineChars="0"/>
        <w:jc w:val="both"/>
        <w:rPr>
          <w:sz w:val="22"/>
          <w:szCs w:val="22"/>
        </w:rPr>
      </w:pPr>
      <w:r w:rsidRPr="002A650F">
        <w:rPr>
          <w:sz w:val="22"/>
          <w:szCs w:val="22"/>
        </w:rPr>
        <w:t xml:space="preserve">International Maritime Organization (IMO), “IMO welcomes entry into force of the BBNJ Agreement,” news release, January 16, 2026, </w:t>
      </w:r>
      <w:hyperlink r:id="rId14" w:history="1">
        <w:r w:rsidRPr="002A650F">
          <w:rPr>
            <w:rStyle w:val="Hyperlink"/>
            <w:sz w:val="22"/>
            <w:szCs w:val="22"/>
          </w:rPr>
          <w:t>https://www.imo.org/en/mediacentre/pressbriefings/pages/imo-welcomes-entry-into-force-bbnj.aspx</w:t>
        </w:r>
      </w:hyperlink>
      <w:r w:rsidRPr="002A650F">
        <w:rPr>
          <w:sz w:val="22"/>
          <w:szCs w:val="22"/>
        </w:rPr>
        <w:t>.</w:t>
      </w:r>
    </w:p>
    <w:p w14:paraId="7C3342B8" w14:textId="77777777" w:rsidR="00CC7B96" w:rsidRPr="002A650F" w:rsidRDefault="00CC7B96" w:rsidP="002A650F">
      <w:pPr>
        <w:pStyle w:val="ListParagraph"/>
        <w:numPr>
          <w:ilvl w:val="0"/>
          <w:numId w:val="8"/>
        </w:numPr>
        <w:ind w:leftChars="0" w:firstLineChars="0"/>
        <w:jc w:val="both"/>
        <w:rPr>
          <w:sz w:val="22"/>
          <w:szCs w:val="22"/>
        </w:rPr>
      </w:pPr>
      <w:proofErr w:type="spellStart"/>
      <w:r w:rsidRPr="002A650F">
        <w:rPr>
          <w:sz w:val="22"/>
          <w:szCs w:val="22"/>
        </w:rPr>
        <w:t>Jiangtao</w:t>
      </w:r>
      <w:proofErr w:type="spellEnd"/>
      <w:r w:rsidRPr="002A650F">
        <w:rPr>
          <w:sz w:val="22"/>
          <w:szCs w:val="22"/>
        </w:rPr>
        <w:t xml:space="preserve"> Qian, “Interpretation and application of general international law in the protection and preservation of marine environment,” Frontiers in Marine Science 12 (2025), https://doi.org/10.3389/fmars.2025.1683136. </w:t>
      </w:r>
    </w:p>
    <w:p w14:paraId="559386AD" w14:textId="77777777" w:rsidR="00CC7B96" w:rsidRPr="002A650F" w:rsidRDefault="00CC7B96" w:rsidP="002A650F">
      <w:pPr>
        <w:pStyle w:val="ListParagraph"/>
        <w:numPr>
          <w:ilvl w:val="0"/>
          <w:numId w:val="8"/>
        </w:numPr>
        <w:ind w:leftChars="0" w:firstLineChars="0"/>
        <w:jc w:val="both"/>
        <w:rPr>
          <w:sz w:val="22"/>
          <w:szCs w:val="22"/>
        </w:rPr>
      </w:pPr>
      <w:r w:rsidRPr="002A650F">
        <w:rPr>
          <w:sz w:val="22"/>
          <w:szCs w:val="22"/>
        </w:rPr>
        <w:t xml:space="preserve">Pew Charitable Trusts, “Inside the New High Seas Treaty” (July 2024), https://www.pew.org/-/media/assets/2024/08/inside-the-new-high-seas-treaty.pdf. </w:t>
      </w:r>
    </w:p>
    <w:p w14:paraId="17A2822D" w14:textId="77777777" w:rsidR="00CC7B96" w:rsidRPr="002A650F" w:rsidRDefault="00CC7B96" w:rsidP="002A650F">
      <w:pPr>
        <w:pStyle w:val="ListParagraph"/>
        <w:numPr>
          <w:ilvl w:val="0"/>
          <w:numId w:val="8"/>
        </w:numPr>
        <w:ind w:leftChars="0" w:firstLineChars="0"/>
        <w:jc w:val="both"/>
        <w:rPr>
          <w:sz w:val="22"/>
          <w:szCs w:val="22"/>
        </w:rPr>
      </w:pPr>
      <w:r w:rsidRPr="002A650F">
        <w:rPr>
          <w:sz w:val="22"/>
          <w:szCs w:val="22"/>
        </w:rPr>
        <w:t xml:space="preserve">Robert Beckman, “Protection and Preservation of the Marine Environment,” Centre for International Law, National University of Singapore, May 27, 2014 (slides/notes), </w:t>
      </w:r>
      <w:hyperlink r:id="rId15" w:history="1">
        <w:r w:rsidRPr="002A650F">
          <w:rPr>
            <w:rStyle w:val="Hyperlink"/>
            <w:sz w:val="22"/>
            <w:szCs w:val="22"/>
          </w:rPr>
          <w:t>https://cil.nus.edu.sg/wp-content/uploads/2009/10/KK-Beckman-UNCLOS-Workshop-Marine-Environment-27-May-2014.pdf</w:t>
        </w:r>
      </w:hyperlink>
    </w:p>
    <w:p w14:paraId="5068BE54" w14:textId="77777777" w:rsidR="00CC7B96" w:rsidRPr="002A650F" w:rsidRDefault="00CC7B96" w:rsidP="002A650F">
      <w:pPr>
        <w:pStyle w:val="ListParagraph"/>
        <w:numPr>
          <w:ilvl w:val="0"/>
          <w:numId w:val="8"/>
        </w:numPr>
        <w:ind w:leftChars="0" w:firstLineChars="0"/>
        <w:jc w:val="both"/>
        <w:rPr>
          <w:sz w:val="22"/>
          <w:szCs w:val="22"/>
        </w:rPr>
      </w:pPr>
      <w:r w:rsidRPr="002A650F">
        <w:rPr>
          <w:sz w:val="22"/>
          <w:szCs w:val="22"/>
        </w:rPr>
        <w:t xml:space="preserve">Tim Dixon, Justine Garrett, and Edward Kleverlaan, “Update on the London Protocol – Developments on Transboundary CCS and on Geoengineering,” Energy Procedia 63 (2014): 6623–28, </w:t>
      </w:r>
      <w:hyperlink r:id="rId16" w:history="1">
        <w:r w:rsidRPr="002A650F">
          <w:rPr>
            <w:rStyle w:val="Hyperlink"/>
            <w:sz w:val="22"/>
            <w:szCs w:val="22"/>
          </w:rPr>
          <w:t>https://doi.org/10.1016/j.egypro.2014.11.698</w:t>
        </w:r>
      </w:hyperlink>
      <w:r w:rsidRPr="002A650F">
        <w:rPr>
          <w:sz w:val="22"/>
          <w:szCs w:val="22"/>
        </w:rPr>
        <w:t xml:space="preserve">. </w:t>
      </w:r>
    </w:p>
    <w:p w14:paraId="5D5A8F61" w14:textId="77777777" w:rsidR="00CC7B96" w:rsidRPr="002A650F" w:rsidRDefault="00CC7B96" w:rsidP="002A650F">
      <w:pPr>
        <w:pStyle w:val="ListParagraph"/>
        <w:numPr>
          <w:ilvl w:val="0"/>
          <w:numId w:val="8"/>
        </w:numPr>
        <w:ind w:leftChars="0" w:firstLineChars="0"/>
        <w:jc w:val="both"/>
        <w:rPr>
          <w:sz w:val="22"/>
          <w:szCs w:val="22"/>
        </w:rPr>
      </w:pPr>
      <w:r w:rsidRPr="002A650F">
        <w:rPr>
          <w:sz w:val="22"/>
          <w:szCs w:val="22"/>
        </w:rPr>
        <w:t xml:space="preserve">Trong Vinh Bui et al., “A Critical Review on the Opportunities and Challenges of Offshore CCUS,” Sustainability 17, no. 20 (2025): 9250, </w:t>
      </w:r>
      <w:hyperlink r:id="rId17" w:history="1">
        <w:r w:rsidRPr="002A650F">
          <w:rPr>
            <w:rStyle w:val="Hyperlink"/>
            <w:sz w:val="22"/>
            <w:szCs w:val="22"/>
          </w:rPr>
          <w:t>https://doi.org/10.3390/su17209250</w:t>
        </w:r>
      </w:hyperlink>
    </w:p>
    <w:p w14:paraId="763B6788" w14:textId="77777777" w:rsidR="00CC7B96" w:rsidRPr="002A650F" w:rsidRDefault="00CC7B96" w:rsidP="002A650F">
      <w:pPr>
        <w:pStyle w:val="ListParagraph"/>
        <w:numPr>
          <w:ilvl w:val="0"/>
          <w:numId w:val="8"/>
        </w:numPr>
        <w:ind w:leftChars="0" w:firstLineChars="0"/>
        <w:jc w:val="both"/>
        <w:rPr>
          <w:sz w:val="22"/>
          <w:szCs w:val="22"/>
        </w:rPr>
      </w:pPr>
      <w:r w:rsidRPr="002A650F">
        <w:rPr>
          <w:sz w:val="22"/>
          <w:szCs w:val="22"/>
        </w:rPr>
        <w:t xml:space="preserve">United Nations 1, “BBNJ Agreement Factsheet 3: Measures such as ABMTs, including MPAs” (2024), </w:t>
      </w:r>
      <w:hyperlink r:id="rId18" w:history="1">
        <w:r w:rsidRPr="002A650F">
          <w:rPr>
            <w:rStyle w:val="Hyperlink"/>
            <w:sz w:val="22"/>
            <w:szCs w:val="22"/>
          </w:rPr>
          <w:t>https://www.un.org/bbnjagreement/sites/default/files/2024-07/BBNJAgreementFactsheet3ABMTs.pdf</w:t>
        </w:r>
      </w:hyperlink>
    </w:p>
    <w:p w14:paraId="5FFFD0CE" w14:textId="77777777" w:rsidR="00CC7B96" w:rsidRPr="002A650F" w:rsidRDefault="00CC7B96" w:rsidP="002A650F">
      <w:pPr>
        <w:pStyle w:val="ListParagraph"/>
        <w:numPr>
          <w:ilvl w:val="0"/>
          <w:numId w:val="8"/>
        </w:numPr>
        <w:ind w:leftChars="0" w:firstLineChars="0"/>
        <w:jc w:val="both"/>
        <w:rPr>
          <w:sz w:val="22"/>
          <w:szCs w:val="22"/>
        </w:rPr>
      </w:pPr>
      <w:r w:rsidRPr="002A650F">
        <w:rPr>
          <w:sz w:val="22"/>
          <w:szCs w:val="22"/>
        </w:rPr>
        <w:t xml:space="preserve">United Nations 2, “BBNJ Agreement Factsheet 4: Environmental Impact Assessments” (2024), </w:t>
      </w:r>
      <w:hyperlink r:id="rId19" w:history="1">
        <w:r w:rsidRPr="002A650F">
          <w:rPr>
            <w:rStyle w:val="Hyperlink"/>
            <w:sz w:val="22"/>
            <w:szCs w:val="22"/>
          </w:rPr>
          <w:t>https://www.un.org/bbnjagreement/sites/default/files/2024-08/BBNJAgreementFactsheet4EIAs.pdf</w:t>
        </w:r>
      </w:hyperlink>
    </w:p>
    <w:p w14:paraId="73FA472C" w14:textId="77777777" w:rsidR="00CC7B96" w:rsidRPr="002A650F" w:rsidRDefault="00CC7B96" w:rsidP="002A650F">
      <w:pPr>
        <w:pStyle w:val="ListParagraph"/>
        <w:numPr>
          <w:ilvl w:val="0"/>
          <w:numId w:val="8"/>
        </w:numPr>
        <w:ind w:leftChars="0" w:firstLineChars="0"/>
        <w:jc w:val="both"/>
        <w:rPr>
          <w:sz w:val="22"/>
          <w:szCs w:val="22"/>
        </w:rPr>
      </w:pPr>
      <w:r w:rsidRPr="002A650F">
        <w:rPr>
          <w:sz w:val="22"/>
          <w:szCs w:val="22"/>
        </w:rPr>
        <w:t xml:space="preserve">W. R. Turrell et al., “A Review of National Monitoring Requirements to Support Offshore CCS,” Frontiers in Marine Science 9 (2022): 838309, </w:t>
      </w:r>
      <w:hyperlink r:id="rId20" w:history="1">
        <w:r w:rsidRPr="002A650F">
          <w:rPr>
            <w:rStyle w:val="Hyperlink"/>
            <w:sz w:val="22"/>
            <w:szCs w:val="22"/>
          </w:rPr>
          <w:t>https://doi.org/10.3389/fmars.2022.838309</w:t>
        </w:r>
      </w:hyperlink>
      <w:r w:rsidRPr="002A650F">
        <w:rPr>
          <w:sz w:val="22"/>
          <w:szCs w:val="22"/>
        </w:rPr>
        <w:t>.</w:t>
      </w:r>
    </w:p>
    <w:p w14:paraId="6389691B" w14:textId="77777777" w:rsidR="00CC7B96" w:rsidRPr="002A650F" w:rsidRDefault="00CC7B96" w:rsidP="002A650F">
      <w:pPr>
        <w:pStyle w:val="ListParagraph"/>
        <w:numPr>
          <w:ilvl w:val="0"/>
          <w:numId w:val="8"/>
        </w:numPr>
        <w:ind w:leftChars="0" w:firstLineChars="0"/>
        <w:jc w:val="both"/>
        <w:rPr>
          <w:sz w:val="22"/>
          <w:szCs w:val="22"/>
        </w:rPr>
      </w:pPr>
      <w:r w:rsidRPr="002A650F">
        <w:rPr>
          <w:sz w:val="22"/>
          <w:szCs w:val="22"/>
        </w:rPr>
        <w:t xml:space="preserve">Wang, J. and Zhang, M. (2025) ‘Barriers or boosters? the role of governance pathways in deploying offshore carbon capture and storage: Comparative implications from the EU and China’, Frontiers in Marine Science, 12. doi:10.3389/fmars.2025.1621290. </w:t>
      </w:r>
    </w:p>
    <w:p w14:paraId="21FF3728" w14:textId="77777777" w:rsidR="00A15E00" w:rsidRDefault="00A15E00" w:rsidP="007B08AB">
      <w:pPr>
        <w:pBdr>
          <w:top w:val="nil"/>
          <w:left w:val="nil"/>
          <w:bottom w:val="nil"/>
          <w:right w:val="nil"/>
          <w:between w:val="nil"/>
        </w:pBdr>
        <w:tabs>
          <w:tab w:val="left" w:pos="504"/>
        </w:tabs>
        <w:spacing w:line="240" w:lineRule="auto"/>
        <w:ind w:leftChars="0" w:left="0" w:firstLineChars="0" w:firstLine="0"/>
        <w:jc w:val="both"/>
        <w:rPr>
          <w:b/>
          <w:color w:val="000000"/>
          <w:sz w:val="22"/>
          <w:szCs w:val="22"/>
        </w:rPr>
      </w:pPr>
    </w:p>
    <w:p w14:paraId="5FB39B34" w14:textId="77777777" w:rsidR="00A15E00" w:rsidRDefault="00A15E00" w:rsidP="007B08AB">
      <w:pPr>
        <w:pBdr>
          <w:top w:val="nil"/>
          <w:left w:val="nil"/>
          <w:bottom w:val="nil"/>
          <w:right w:val="nil"/>
          <w:between w:val="nil"/>
        </w:pBdr>
        <w:tabs>
          <w:tab w:val="left" w:pos="504"/>
        </w:tabs>
        <w:spacing w:line="240" w:lineRule="auto"/>
        <w:ind w:leftChars="0" w:left="0" w:firstLineChars="0" w:firstLine="0"/>
        <w:jc w:val="both"/>
        <w:rPr>
          <w:b/>
          <w:color w:val="000000"/>
          <w:sz w:val="22"/>
          <w:szCs w:val="22"/>
        </w:rPr>
      </w:pPr>
    </w:p>
    <w:p w14:paraId="67BB78D7" w14:textId="77777777" w:rsidR="00A15E00" w:rsidRDefault="00A15E00" w:rsidP="007B08AB">
      <w:pPr>
        <w:pBdr>
          <w:top w:val="nil"/>
          <w:left w:val="nil"/>
          <w:bottom w:val="nil"/>
          <w:right w:val="nil"/>
          <w:between w:val="nil"/>
        </w:pBdr>
        <w:tabs>
          <w:tab w:val="left" w:pos="504"/>
        </w:tabs>
        <w:spacing w:line="240" w:lineRule="auto"/>
        <w:ind w:leftChars="0" w:left="0" w:firstLineChars="0" w:firstLine="0"/>
        <w:jc w:val="both"/>
        <w:rPr>
          <w:b/>
          <w:color w:val="000000"/>
          <w:sz w:val="22"/>
          <w:szCs w:val="22"/>
        </w:rPr>
      </w:pPr>
    </w:p>
    <w:p w14:paraId="10719177" w14:textId="77777777" w:rsidR="00A15E00" w:rsidRDefault="00A15E00" w:rsidP="007B08AB">
      <w:pPr>
        <w:pBdr>
          <w:top w:val="nil"/>
          <w:left w:val="nil"/>
          <w:bottom w:val="nil"/>
          <w:right w:val="nil"/>
          <w:between w:val="nil"/>
        </w:pBdr>
        <w:tabs>
          <w:tab w:val="left" w:pos="504"/>
        </w:tabs>
        <w:spacing w:line="240" w:lineRule="auto"/>
        <w:ind w:leftChars="0" w:left="0" w:firstLineChars="0" w:firstLine="0"/>
        <w:jc w:val="both"/>
        <w:rPr>
          <w:b/>
          <w:color w:val="000000"/>
          <w:sz w:val="22"/>
          <w:szCs w:val="22"/>
        </w:rPr>
      </w:pPr>
    </w:p>
    <w:p w14:paraId="4ECCAAF9" w14:textId="77777777" w:rsidR="004E2EB1" w:rsidRDefault="004E2EB1" w:rsidP="007B08AB">
      <w:pPr>
        <w:ind w:leftChars="0" w:left="0" w:firstLineChars="0" w:firstLine="0"/>
        <w:jc w:val="both"/>
      </w:pPr>
    </w:p>
    <w:sectPr w:rsidR="004E2EB1">
      <w:headerReference w:type="even" r:id="rId21"/>
      <w:headerReference w:type="default" r:id="rId22"/>
      <w:footerReference w:type="even" r:id="rId23"/>
      <w:footerReference w:type="default" r:id="rId24"/>
      <w:headerReference w:type="first" r:id="rId25"/>
      <w:footerReference w:type="first" r:id="rId26"/>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A207F" w14:textId="77777777" w:rsidR="009F5419" w:rsidRDefault="009F5419">
      <w:pPr>
        <w:spacing w:line="240" w:lineRule="auto"/>
        <w:ind w:left="0" w:hanging="2"/>
      </w:pPr>
      <w:r>
        <w:separator/>
      </w:r>
    </w:p>
  </w:endnote>
  <w:endnote w:type="continuationSeparator" w:id="0">
    <w:p w14:paraId="1B38218B" w14:textId="77777777" w:rsidR="009F5419" w:rsidRDefault="009F541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126E" w14:textId="77777777" w:rsidR="00B022E6" w:rsidRDefault="00B022E6">
    <w:pPr>
      <w:pBdr>
        <w:top w:val="single" w:sz="6" w:space="1" w:color="000000"/>
        <w:left w:val="nil"/>
        <w:bottom w:val="nil"/>
        <w:right w:val="nil"/>
        <w:between w:val="nil"/>
      </w:pBdr>
      <w:tabs>
        <w:tab w:val="center" w:pos="4703"/>
        <w:tab w:val="right" w:pos="9406"/>
      </w:tabs>
      <w:spacing w:line="240" w:lineRule="auto"/>
      <w:ind w:left="0" w:hanging="2"/>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4BAC" w14:textId="77777777" w:rsidR="007122C7" w:rsidRDefault="007122C7" w:rsidP="007122C7">
    <w:pPr>
      <w:pBdr>
        <w:top w:val="nil"/>
        <w:left w:val="nil"/>
        <w:bottom w:val="single" w:sz="6" w:space="1" w:color="000000"/>
        <w:right w:val="nil"/>
        <w:between w:val="nil"/>
      </w:pBdr>
      <w:tabs>
        <w:tab w:val="center" w:pos="4703"/>
        <w:tab w:val="right" w:pos="9406"/>
      </w:tabs>
      <w:spacing w:line="240" w:lineRule="auto"/>
      <w:ind w:left="0" w:hanging="2"/>
      <w:jc w:val="center"/>
      <w:rPr>
        <w:color w:val="000000"/>
        <w:sz w:val="20"/>
        <w:szCs w:val="20"/>
      </w:rPr>
    </w:pPr>
  </w:p>
  <w:p w14:paraId="0B8355CA" w14:textId="22AEBA68" w:rsidR="00B022E6" w:rsidRPr="007122C7" w:rsidRDefault="00F70A4E" w:rsidP="007122C7">
    <w:pPr>
      <w:pBdr>
        <w:top w:val="nil"/>
        <w:left w:val="nil"/>
        <w:bottom w:val="nil"/>
        <w:right w:val="nil"/>
        <w:between w:val="nil"/>
      </w:pBdr>
      <w:tabs>
        <w:tab w:val="center" w:pos="4703"/>
        <w:tab w:val="right" w:pos="9406"/>
      </w:tabs>
      <w:spacing w:line="240" w:lineRule="auto"/>
      <w:ind w:left="0" w:hanging="2"/>
      <w:jc w:val="center"/>
      <w:rPr>
        <w:sz w:val="20"/>
        <w:szCs w:val="20"/>
      </w:rPr>
    </w:pPr>
    <w:r>
      <w:rPr>
        <w:sz w:val="20"/>
        <w:szCs w:val="20"/>
      </w:rPr>
      <w:t xml:space="preserve">World CCUS Conference </w:t>
    </w:r>
    <w:r w:rsidR="00157344">
      <w:rPr>
        <w:sz w:val="20"/>
        <w:szCs w:val="20"/>
      </w:rPr>
      <w:t>2026</w:t>
    </w:r>
    <w:r w:rsidR="007122C7">
      <w:rPr>
        <w:color w:val="FF0000"/>
        <w:sz w:val="20"/>
        <w:szCs w:val="20"/>
      </w:rPr>
      <w:br/>
    </w:r>
    <w:r w:rsidR="00157344">
      <w:rPr>
        <w:sz w:val="20"/>
        <w:szCs w:val="20"/>
      </w:rPr>
      <w:t>September</w:t>
    </w:r>
    <w:r w:rsidR="00157344" w:rsidRPr="00157344">
      <w:rPr>
        <w:sz w:val="20"/>
        <w:szCs w:val="20"/>
      </w:rPr>
      <w:t xml:space="preserve"> 202</w:t>
    </w:r>
    <w:r w:rsidR="00157344">
      <w:rPr>
        <w:sz w:val="20"/>
        <w:szCs w:val="20"/>
      </w:rPr>
      <w:t>6</w:t>
    </w:r>
    <w:r w:rsidR="00157344" w:rsidRPr="00157344">
      <w:rPr>
        <w:sz w:val="20"/>
        <w:szCs w:val="20"/>
      </w:rPr>
      <w:t>,</w:t>
    </w:r>
    <w:r w:rsidR="0094179F">
      <w:rPr>
        <w:sz w:val="20"/>
        <w:szCs w:val="20"/>
      </w:rPr>
      <w:t xml:space="preserve"> Edinburgh,</w:t>
    </w:r>
    <w:r w:rsidR="00157344" w:rsidRPr="00157344">
      <w:rPr>
        <w:sz w:val="20"/>
        <w:szCs w:val="20"/>
      </w:rPr>
      <w:t xml:space="preserve"> United Kingdom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B52D" w14:textId="77777777" w:rsidR="00B022E6" w:rsidRDefault="00B022E6">
    <w:pPr>
      <w:pBdr>
        <w:top w:val="nil"/>
        <w:left w:val="nil"/>
        <w:bottom w:val="nil"/>
        <w:right w:val="nil"/>
        <w:between w:val="nil"/>
      </w:pBdr>
      <w:tabs>
        <w:tab w:val="center" w:pos="4703"/>
        <w:tab w:val="right" w:pos="94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ACF4C" w14:textId="77777777" w:rsidR="009F5419" w:rsidRDefault="009F5419">
      <w:pPr>
        <w:spacing w:line="240" w:lineRule="auto"/>
        <w:ind w:left="0" w:hanging="2"/>
      </w:pPr>
      <w:r>
        <w:separator/>
      </w:r>
    </w:p>
  </w:footnote>
  <w:footnote w:type="continuationSeparator" w:id="0">
    <w:p w14:paraId="5CF2A9AD" w14:textId="77777777" w:rsidR="009F5419" w:rsidRDefault="009F5419">
      <w:pPr>
        <w:spacing w:line="240" w:lineRule="auto"/>
        <w:ind w:left="0" w:hanging="2"/>
      </w:pPr>
      <w:r>
        <w:continuationSeparator/>
      </w:r>
    </w:p>
  </w:footnote>
  <w:footnote w:id="1">
    <w:p w14:paraId="0DA06D68" w14:textId="1901763F" w:rsidR="009E3763" w:rsidRPr="00D80647" w:rsidRDefault="009E3763" w:rsidP="009E3763">
      <w:pPr>
        <w:pStyle w:val="FootnoteText"/>
        <w:ind w:left="0" w:hanging="2"/>
        <w:rPr>
          <w:sz w:val="18"/>
          <w:szCs w:val="18"/>
        </w:rPr>
      </w:pPr>
      <w:r w:rsidRPr="00D80647">
        <w:rPr>
          <w:rStyle w:val="FootnoteReference"/>
          <w:sz w:val="18"/>
          <w:szCs w:val="18"/>
        </w:rPr>
        <w:footnoteRef/>
      </w:r>
      <w:r w:rsidRPr="00D80647">
        <w:rPr>
          <w:sz w:val="18"/>
          <w:szCs w:val="18"/>
        </w:rPr>
        <w:t xml:space="preserve"> International Maritime Organization, “Resolution LP.1(1) (2006) – Amendment to include CO₂ sequestration in sub</w:t>
      </w:r>
      <w:r w:rsidRPr="00D80647">
        <w:rPr>
          <w:sz w:val="18"/>
          <w:szCs w:val="18"/>
        </w:rPr>
        <w:noBreakHyphen/>
        <w:t xml:space="preserve">seabed geological formations,” https://wwwcdn.imo.org/localresources/en/KnowledgeCentre/IndexofIMOResolutions/LCLPDocuments/LP.1%281%29.pdf; Tim Dixon, Justine Garrett, and Edward Kleverlaan, “Update on the London Protocol – Developments on Transboundary CCS and on Geoengineering,” </w:t>
      </w:r>
      <w:r w:rsidRPr="00D80647">
        <w:rPr>
          <w:i/>
          <w:iCs/>
          <w:sz w:val="18"/>
          <w:szCs w:val="18"/>
        </w:rPr>
        <w:t>Energy Procedia</w:t>
      </w:r>
      <w:r w:rsidRPr="00D80647">
        <w:rPr>
          <w:sz w:val="18"/>
          <w:szCs w:val="18"/>
        </w:rPr>
        <w:t xml:space="preserve"> 63 (2014): 6623–28, https://doi.org/10.1016/j.egypro.2014.11.698.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08B3" w14:textId="77777777" w:rsidR="00B022E6" w:rsidRDefault="00F05F88">
    <w:pPr>
      <w:pBdr>
        <w:top w:val="nil"/>
        <w:left w:val="nil"/>
        <w:bottom w:val="nil"/>
        <w:right w:val="nil"/>
        <w:between w:val="nil"/>
      </w:pBdr>
      <w:tabs>
        <w:tab w:val="center" w:pos="4703"/>
        <w:tab w:val="right" w:pos="9406"/>
      </w:tabs>
      <w:spacing w:line="240" w:lineRule="auto"/>
      <w:ind w:left="0" w:hanging="2"/>
      <w:jc w:val="right"/>
      <w:rPr>
        <w:color w:val="000000"/>
        <w:sz w:val="12"/>
        <w:szCs w:val="12"/>
      </w:rPr>
    </w:pPr>
    <w:r>
      <w:rPr>
        <w:noProof/>
      </w:rPr>
      <mc:AlternateContent>
        <mc:Choice Requires="wpg">
          <w:drawing>
            <wp:anchor distT="0" distB="0" distL="114300" distR="114300" simplePos="0" relativeHeight="251658240" behindDoc="0" locked="0" layoutInCell="1" hidden="0" allowOverlap="1" wp14:anchorId="10093CA9" wp14:editId="4D68E873">
              <wp:simplePos x="0" y="0"/>
              <wp:positionH relativeFrom="column">
                <wp:posOffset>38101</wp:posOffset>
              </wp:positionH>
              <wp:positionV relativeFrom="paragraph">
                <wp:posOffset>0</wp:posOffset>
              </wp:positionV>
              <wp:extent cx="1321435" cy="306070"/>
              <wp:effectExtent l="0" t="0" r="0" b="0"/>
              <wp:wrapNone/>
              <wp:docPr id="1036" name="Group 1036"/>
              <wp:cNvGraphicFramePr/>
              <a:graphic xmlns:a="http://schemas.openxmlformats.org/drawingml/2006/main">
                <a:graphicData uri="http://schemas.microsoft.com/office/word/2010/wordprocessingGroup">
                  <wpg:wgp>
                    <wpg:cNvGrpSpPr/>
                    <wpg:grpSpPr>
                      <a:xfrm>
                        <a:off x="0" y="0"/>
                        <a:ext cx="1321435" cy="306070"/>
                        <a:chOff x="4685275" y="3626950"/>
                        <a:chExt cx="1321450" cy="306100"/>
                      </a:xfrm>
                    </wpg:grpSpPr>
                    <wpg:grpSp>
                      <wpg:cNvPr id="1299828191" name="Group 1299828191"/>
                      <wpg:cNvGrpSpPr/>
                      <wpg:grpSpPr>
                        <a:xfrm>
                          <a:off x="4685283" y="3626965"/>
                          <a:ext cx="1321435" cy="306070"/>
                          <a:chOff x="4685283" y="3626965"/>
                          <a:chExt cx="1321435" cy="306070"/>
                        </a:xfrm>
                      </wpg:grpSpPr>
                      <wps:wsp>
                        <wps:cNvPr id="301476027" name="Rectangle 301476027"/>
                        <wps:cNvSpPr/>
                        <wps:spPr>
                          <a:xfrm>
                            <a:off x="4685283" y="3626965"/>
                            <a:ext cx="1321425" cy="306050"/>
                          </a:xfrm>
                          <a:prstGeom prst="rect">
                            <a:avLst/>
                          </a:prstGeom>
                          <a:noFill/>
                          <a:ln>
                            <a:noFill/>
                          </a:ln>
                        </wps:spPr>
                        <wps:txbx>
                          <w:txbxContent>
                            <w:p w14:paraId="67E03682"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1429098456" name="Group 1429098456"/>
                        <wpg:cNvGrpSpPr/>
                        <wpg:grpSpPr>
                          <a:xfrm>
                            <a:off x="4685283" y="3626965"/>
                            <a:ext cx="1321435" cy="306070"/>
                            <a:chOff x="4685283" y="3626965"/>
                            <a:chExt cx="1321435" cy="306070"/>
                          </a:xfrm>
                        </wpg:grpSpPr>
                        <wps:wsp>
                          <wps:cNvPr id="1310071024" name="Rectangle 1310071024"/>
                          <wps:cNvSpPr/>
                          <wps:spPr>
                            <a:xfrm>
                              <a:off x="4685283" y="3626965"/>
                              <a:ext cx="1321425" cy="306050"/>
                            </a:xfrm>
                            <a:prstGeom prst="rect">
                              <a:avLst/>
                            </a:prstGeom>
                            <a:noFill/>
                            <a:ln>
                              <a:noFill/>
                            </a:ln>
                          </wps:spPr>
                          <wps:txbx>
                            <w:txbxContent>
                              <w:p w14:paraId="24BED48E"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447139859" name="Group 447139859"/>
                          <wpg:cNvGrpSpPr/>
                          <wpg:grpSpPr>
                            <a:xfrm>
                              <a:off x="4685283" y="3626965"/>
                              <a:ext cx="1321435" cy="306070"/>
                              <a:chOff x="4685283" y="3625945"/>
                              <a:chExt cx="1322453" cy="307090"/>
                            </a:xfrm>
                          </wpg:grpSpPr>
                          <wps:wsp>
                            <wps:cNvPr id="211898892" name="Rectangle 211898892"/>
                            <wps:cNvSpPr/>
                            <wps:spPr>
                              <a:xfrm>
                                <a:off x="4685283" y="3625945"/>
                                <a:ext cx="1322450" cy="307075"/>
                              </a:xfrm>
                              <a:prstGeom prst="rect">
                                <a:avLst/>
                              </a:prstGeom>
                              <a:noFill/>
                              <a:ln>
                                <a:noFill/>
                              </a:ln>
                            </wps:spPr>
                            <wps:txbx>
                              <w:txbxContent>
                                <w:p w14:paraId="6C9CBC7A"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1930734344" name="Group 1930734344"/>
                            <wpg:cNvGrpSpPr/>
                            <wpg:grpSpPr>
                              <a:xfrm>
                                <a:off x="4685283" y="3625945"/>
                                <a:ext cx="1322453" cy="307090"/>
                                <a:chOff x="0" y="-6"/>
                                <a:chExt cx="7791" cy="1806"/>
                              </a:xfrm>
                            </wpg:grpSpPr>
                            <wps:wsp>
                              <wps:cNvPr id="198755364" name="Rectangle 198755364"/>
                              <wps:cNvSpPr/>
                              <wps:spPr>
                                <a:xfrm>
                                  <a:off x="0" y="0"/>
                                  <a:ext cx="7775" cy="1800"/>
                                </a:xfrm>
                                <a:prstGeom prst="rect">
                                  <a:avLst/>
                                </a:prstGeom>
                                <a:noFill/>
                                <a:ln>
                                  <a:noFill/>
                                </a:ln>
                              </wps:spPr>
                              <wps:txbx>
                                <w:txbxContent>
                                  <w:p w14:paraId="5C6B6607"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440779570" name="Rectangle 440779570"/>
                              <wps:cNvSpPr/>
                              <wps:spPr>
                                <a:xfrm>
                                  <a:off x="0" y="0"/>
                                  <a:ext cx="7785" cy="1800"/>
                                </a:xfrm>
                                <a:prstGeom prst="rect">
                                  <a:avLst/>
                                </a:prstGeom>
                                <a:noFill/>
                                <a:ln>
                                  <a:noFill/>
                                </a:ln>
                              </wps:spPr>
                              <wps:txbx>
                                <w:txbxContent>
                                  <w:p w14:paraId="76E6E300"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683022907" name="Freeform 1683022907"/>
                              <wps:cNvSpPr/>
                              <wps:spPr>
                                <a:xfrm>
                                  <a:off x="0" y="30"/>
                                  <a:ext cx="1791" cy="1735"/>
                                </a:xfrm>
                                <a:custGeom>
                                  <a:avLst/>
                                  <a:gdLst/>
                                  <a:ahLst/>
                                  <a:cxnLst/>
                                  <a:rect l="l" t="t" r="r" b="b"/>
                                  <a:pathLst>
                                    <a:path w="303" h="295" extrusionOk="0">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wps:spPr>
                              <wps:txbx>
                                <w:txbxContent>
                                  <w:p w14:paraId="07EC9767"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143365161" name="Freeform 1143365161"/>
                              <wps:cNvSpPr/>
                              <wps:spPr>
                                <a:xfrm>
                                  <a:off x="1856" y="30"/>
                                  <a:ext cx="1962" cy="1735"/>
                                </a:xfrm>
                                <a:custGeom>
                                  <a:avLst/>
                                  <a:gdLst/>
                                  <a:ahLst/>
                                  <a:cxnLst/>
                                  <a:rect l="l" t="t" r="r" b="b"/>
                                  <a:pathLst>
                                    <a:path w="332" h="295" extrusionOk="0">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wps:spPr>
                              <wps:txbx>
                                <w:txbxContent>
                                  <w:p w14:paraId="2CCB41B9"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668909776" name="Freeform 1668909776"/>
                              <wps:cNvSpPr/>
                              <wps:spPr>
                                <a:xfrm>
                                  <a:off x="3895" y="-6"/>
                                  <a:ext cx="1980" cy="1806"/>
                                </a:xfrm>
                                <a:custGeom>
                                  <a:avLst/>
                                  <a:gdLst/>
                                  <a:ahLst/>
                                  <a:cxnLst/>
                                  <a:rect l="l" t="t" r="r" b="b"/>
                                  <a:pathLst>
                                    <a:path w="335" h="307" extrusionOk="0">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wps:spPr>
                              <wps:txbx>
                                <w:txbxContent>
                                  <w:p w14:paraId="334326CE"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530978552" name="Freeform 530978552"/>
                              <wps:cNvSpPr/>
                              <wps:spPr>
                                <a:xfrm>
                                  <a:off x="6000" y="30"/>
                                  <a:ext cx="1791" cy="1735"/>
                                </a:xfrm>
                                <a:custGeom>
                                  <a:avLst/>
                                  <a:gdLst/>
                                  <a:ahLst/>
                                  <a:cxnLst/>
                                  <a:rect l="l" t="t" r="r" b="b"/>
                                  <a:pathLst>
                                    <a:path w="303" h="295" extrusionOk="0">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wps:spPr>
                              <wps:txbx>
                                <w:txbxContent>
                                  <w:p w14:paraId="24F702D2"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10093CA9" id="Group 1036" o:spid="_x0000_s1026" style="position:absolute;left:0;text-align:left;margin-left:3pt;margin-top:0;width:104.05pt;height:24.1pt;z-index:251658240" coordorigin="46852,36269" coordsize="13214,3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">
              <v:group id="Group 1299828191" o:spid="_x0000_s1027"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">
                <v:rect id="Rectangle 301476027" o:spid="_x0000_s1028"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" filled="f" stroked="f">
                  <v:textbox inset="2.53958mm,2.53958mm,2.53958mm,2.53958mm">
                    <w:txbxContent>
                      <w:p w14:paraId="67E03682" w14:textId="77777777" w:rsidR="00B022E6" w:rsidRDefault="00B022E6">
                        <w:pPr>
                          <w:spacing w:line="240" w:lineRule="auto"/>
                          <w:ind w:left="0" w:hanging="2"/>
                        </w:pPr>
                      </w:p>
                    </w:txbxContent>
                  </v:textbox>
                </v:rect>
                <v:group id="Group 1429098456" o:spid="_x0000_s1029"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">
                  <v:rect id="Rectangle 1310071024" o:spid="_x0000_s1030"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" filled="f" stroked="f">
                    <v:textbox inset="2.53958mm,2.53958mm,2.53958mm,2.53958mm">
                      <w:txbxContent>
                        <w:p w14:paraId="24BED48E" w14:textId="77777777" w:rsidR="00B022E6" w:rsidRDefault="00B022E6">
                          <w:pPr>
                            <w:spacing w:line="240" w:lineRule="auto"/>
                            <w:ind w:left="0" w:hanging="2"/>
                          </w:pPr>
                        </w:p>
                      </w:txbxContent>
                    </v:textbox>
                  </v:rect>
                  <v:group id="Group 447139859" o:spid="_x0000_s1031" style="position:absolute;left:46852;top:36269;width:13215;height:3061" coordorigin="46852,36259" coordsize="13224,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">
                    <v:rect id="Rectangle 211898892" o:spid="_x0000_s1032" style="position:absolute;left:46852;top:36259;width:13225;height:3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" filled="f" stroked="f">
                      <v:textbox inset="2.53958mm,2.53958mm,2.53958mm,2.53958mm">
                        <w:txbxContent>
                          <w:p w14:paraId="6C9CBC7A" w14:textId="77777777" w:rsidR="00B022E6" w:rsidRDefault="00B022E6">
                            <w:pPr>
                              <w:spacing w:line="240" w:lineRule="auto"/>
                              <w:ind w:left="0" w:hanging="2"/>
                            </w:pPr>
                          </w:p>
                        </w:txbxContent>
                      </v:textbox>
                    </v:rect>
                    <v:group id="Group 1930734344" o:spid="_x0000_s1033" style="position:absolute;left:46852;top:36259;width:13225;height:3071" coordorigin=",-6" coordsize="779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">
                      <v:rect id="Rectangle 198755364" o:spid="_x0000_s1034" style="position:absolute;width:777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" filled="f" stroked="f">
                        <v:textbox inset="2.53958mm,2.53958mm,2.53958mm,2.53958mm">
                          <w:txbxContent>
                            <w:p w14:paraId="5C6B6607" w14:textId="77777777" w:rsidR="00B022E6" w:rsidRDefault="00B022E6">
                              <w:pPr>
                                <w:spacing w:line="240" w:lineRule="auto"/>
                                <w:ind w:left="0" w:hanging="2"/>
                              </w:pPr>
                            </w:p>
                          </w:txbxContent>
                        </v:textbox>
                      </v:rect>
                      <v:rect id="Rectangle 440779570" o:spid="_x0000_s1035" style="position:absolute;width:778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" filled="f" stroked="f">
                        <v:textbox inset="2.53958mm,2.53958mm,2.53958mm,2.53958mm">
                          <w:txbxContent>
                            <w:p w14:paraId="76E6E300" w14:textId="77777777" w:rsidR="00B022E6" w:rsidRDefault="00B022E6">
                              <w:pPr>
                                <w:spacing w:line="240" w:lineRule="auto"/>
                                <w:ind w:left="0" w:hanging="2"/>
                              </w:pPr>
                            </w:p>
                          </w:txbxContent>
                        </v:textbox>
                      </v:rect>
                      <v:shape id="Freeform 1683022907" o:spid="_x0000_s1036" style="position:absolute;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" adj="-11796480,,540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stroke joinstyle="miter"/>
                        <v:formulas/>
                        <v:path arrowok="t" o:extrusionok="f" o:connecttype="custom" textboxrect="0,0,303,295"/>
                        <v:textbox inset="2.53958mm,2.53958mm,2.53958mm,2.53958mm">
                          <w:txbxContent>
                            <w:p w14:paraId="07EC9767" w14:textId="77777777" w:rsidR="00B022E6" w:rsidRDefault="00B022E6">
                              <w:pPr>
                                <w:spacing w:line="240" w:lineRule="auto"/>
                                <w:ind w:left="0" w:hanging="2"/>
                              </w:pPr>
                            </w:p>
                          </w:txbxContent>
                        </v:textbox>
                      </v:shape>
                      <v:shape id="Freeform 1143365161" o:spid="_x0000_s1037" style="position:absolute;left:1856;top:30;width:1962;height:1735;visibility:visible;mso-wrap-style:square;v-text-anchor:middle" coordsize="332,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" adj="-11796480,,540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stroke joinstyle="miter"/>
                        <v:formulas/>
                        <v:path arrowok="t" o:extrusionok="f" o:connecttype="custom" textboxrect="0,0,332,295"/>
                        <v:textbox inset="2.53958mm,2.53958mm,2.53958mm,2.53958mm">
                          <w:txbxContent>
                            <w:p w14:paraId="2CCB41B9" w14:textId="77777777" w:rsidR="00B022E6" w:rsidRDefault="00B022E6">
                              <w:pPr>
                                <w:spacing w:line="240" w:lineRule="auto"/>
                                <w:ind w:left="0" w:hanging="2"/>
                              </w:pPr>
                            </w:p>
                          </w:txbxContent>
                        </v:textbox>
                      </v:shape>
                      <v:shape id="Freeform 1668909776" o:spid="_x0000_s1038" style="position:absolute;left:3895;top:-6;width:1980;height:1806;visibility:visible;mso-wrap-style:square;v-text-anchor:middle" coordsize="335,3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" adj="-11796480,,5400" path="m272,94c253,49,214,21,171,21,114,21,83,67,83,150v,86,37,136,100,136c200,286,213,283,226,275v,-62,,-62,,-62c226,187,219,175,187,175v,-21,,-21,,-21c335,154,335,154,335,154v,21,,21,,21c310,175,302,187,302,211v,73,,73,,73c280,295,215,307,171,307,65,307,,251,,159,,76,61,,174,v46,,95,10,121,27c300,94,300,94,300,94r-28,xe" fillcolor="#009273" stroked="f">
                        <v:stroke joinstyle="miter"/>
                        <v:formulas/>
                        <v:path arrowok="t" o:extrusionok="f" o:connecttype="custom" textboxrect="0,0,335,307"/>
                        <v:textbox inset="2.53958mm,2.53958mm,2.53958mm,2.53958mm">
                          <w:txbxContent>
                            <w:p w14:paraId="334326CE" w14:textId="77777777" w:rsidR="00B022E6" w:rsidRDefault="00B022E6">
                              <w:pPr>
                                <w:spacing w:line="240" w:lineRule="auto"/>
                                <w:ind w:left="0" w:hanging="2"/>
                              </w:pPr>
                            </w:p>
                          </w:txbxContent>
                        </v:textbox>
                      </v:shape>
                      <v:shape id="Freeform 530978552" o:spid="_x0000_s1039" style="position:absolute;left:6000;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" adj="-11796480,,540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stroke joinstyle="miter"/>
                        <v:formulas/>
                        <v:path arrowok="t" o:extrusionok="f" o:connecttype="custom" textboxrect="0,0,303,295"/>
                        <v:textbox inset="2.53958mm,2.53958mm,2.53958mm,2.53958mm">
                          <w:txbxContent>
                            <w:p w14:paraId="24F702D2" w14:textId="77777777" w:rsidR="00B022E6" w:rsidRDefault="00B022E6">
                              <w:pPr>
                                <w:spacing w:line="240" w:lineRule="auto"/>
                                <w:ind w:left="0" w:hanging="2"/>
                              </w:pPr>
                            </w:p>
                          </w:txbxContent>
                        </v:textbox>
                      </v:shape>
                    </v:group>
                  </v:group>
                </v:group>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DA83" w14:textId="058D74B5" w:rsidR="00B022E6" w:rsidRDefault="00762C72">
    <w:pPr>
      <w:tabs>
        <w:tab w:val="center" w:pos="4703"/>
        <w:tab w:val="right" w:pos="9406"/>
      </w:tabs>
      <w:ind w:left="0" w:hanging="2"/>
      <w:jc w:val="right"/>
      <w:rPr>
        <w:color w:val="000000"/>
        <w:sz w:val="12"/>
        <w:szCs w:val="12"/>
      </w:rPr>
    </w:pPr>
    <w:r>
      <w:rPr>
        <w:noProof/>
      </w:rPr>
      <w:drawing>
        <wp:inline distT="0" distB="0" distL="0" distR="0" wp14:anchorId="0FA5B1B6" wp14:editId="08CE398E">
          <wp:extent cx="771083" cy="771083"/>
          <wp:effectExtent l="0" t="0" r="3810" b="3810"/>
          <wp:docPr id="196202209"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2209" name="Picture 1" descr="A logo of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0972" cy="860972"/>
                  </a:xfrm>
                  <a:prstGeom prst="rect">
                    <a:avLst/>
                  </a:prstGeom>
                </pic:spPr>
              </pic:pic>
            </a:graphicData>
          </a:graphic>
        </wp:inline>
      </w:drawing>
    </w:r>
  </w:p>
  <w:p w14:paraId="51C08B09" w14:textId="77777777" w:rsidR="00B022E6" w:rsidRDefault="00B022E6">
    <w:pPr>
      <w:pBdr>
        <w:top w:val="nil"/>
        <w:left w:val="nil"/>
        <w:bottom w:val="nil"/>
        <w:right w:val="nil"/>
        <w:between w:val="nil"/>
      </w:pBdr>
      <w:tabs>
        <w:tab w:val="center" w:pos="4703"/>
        <w:tab w:val="right" w:pos="9406"/>
      </w:tabs>
      <w:spacing w:line="240" w:lineRule="auto"/>
      <w:rPr>
        <w:color w:val="000000"/>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4DBA" w14:textId="77777777" w:rsidR="00B022E6" w:rsidRDefault="00F05F88">
    <w:pPr>
      <w:pBdr>
        <w:top w:val="nil"/>
        <w:left w:val="nil"/>
        <w:bottom w:val="single" w:sz="6" w:space="1" w:color="000000"/>
        <w:right w:val="nil"/>
        <w:between w:val="nil"/>
      </w:pBdr>
      <w:tabs>
        <w:tab w:val="center" w:pos="4703"/>
        <w:tab w:val="right" w:pos="9406"/>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0611"/>
    <w:multiLevelType w:val="multilevel"/>
    <w:tmpl w:val="F80EFC2A"/>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17019D"/>
    <w:multiLevelType w:val="multilevel"/>
    <w:tmpl w:val="3716CE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pStyle w:val="ParaLis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C1B5F4F"/>
    <w:multiLevelType w:val="hybridMultilevel"/>
    <w:tmpl w:val="2598C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123A29"/>
    <w:multiLevelType w:val="hybridMultilevel"/>
    <w:tmpl w:val="0EAAE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F760C0"/>
    <w:multiLevelType w:val="multilevel"/>
    <w:tmpl w:val="C44E9E0C"/>
    <w:lvl w:ilvl="0">
      <w:start w:val="1"/>
      <w:numFmt w:val="bullet"/>
      <w:pStyle w:val="ListBullet"/>
      <w:lvlText w:val="●"/>
      <w:lvlJc w:val="left"/>
      <w:pPr>
        <w:ind w:left="644" w:hanging="357"/>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AB87CE8"/>
    <w:multiLevelType w:val="hybridMultilevel"/>
    <w:tmpl w:val="24AC4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E80327"/>
    <w:multiLevelType w:val="hybridMultilevel"/>
    <w:tmpl w:val="2C54E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8E6A81"/>
    <w:multiLevelType w:val="multilevel"/>
    <w:tmpl w:val="3968D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9868990">
    <w:abstractNumId w:val="4"/>
  </w:num>
  <w:num w:numId="2" w16cid:durableId="207305906">
    <w:abstractNumId w:val="1"/>
  </w:num>
  <w:num w:numId="3" w16cid:durableId="1183470590">
    <w:abstractNumId w:val="0"/>
  </w:num>
  <w:num w:numId="4" w16cid:durableId="1704593484">
    <w:abstractNumId w:val="7"/>
  </w:num>
  <w:num w:numId="5" w16cid:durableId="2093891388">
    <w:abstractNumId w:val="2"/>
  </w:num>
  <w:num w:numId="6" w16cid:durableId="204832571">
    <w:abstractNumId w:val="5"/>
  </w:num>
  <w:num w:numId="7" w16cid:durableId="470904977">
    <w:abstractNumId w:val="3"/>
  </w:num>
  <w:num w:numId="8" w16cid:durableId="1175282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E6"/>
    <w:rsid w:val="00002355"/>
    <w:rsid w:val="000071CA"/>
    <w:rsid w:val="00007687"/>
    <w:rsid w:val="000129D4"/>
    <w:rsid w:val="000200F0"/>
    <w:rsid w:val="000223CC"/>
    <w:rsid w:val="00037315"/>
    <w:rsid w:val="00056FE5"/>
    <w:rsid w:val="00061609"/>
    <w:rsid w:val="00064A18"/>
    <w:rsid w:val="00075251"/>
    <w:rsid w:val="000A2BB3"/>
    <w:rsid w:val="000B49D9"/>
    <w:rsid w:val="000C4EC4"/>
    <w:rsid w:val="000D4A4F"/>
    <w:rsid w:val="000E11D3"/>
    <w:rsid w:val="000F2F8C"/>
    <w:rsid w:val="000F5174"/>
    <w:rsid w:val="00100D3A"/>
    <w:rsid w:val="00113DB3"/>
    <w:rsid w:val="0012409A"/>
    <w:rsid w:val="0013509E"/>
    <w:rsid w:val="0015125F"/>
    <w:rsid w:val="001544DA"/>
    <w:rsid w:val="00157344"/>
    <w:rsid w:val="001677A1"/>
    <w:rsid w:val="00172BD5"/>
    <w:rsid w:val="001A20B4"/>
    <w:rsid w:val="001C21A3"/>
    <w:rsid w:val="001D45C3"/>
    <w:rsid w:val="001E5A54"/>
    <w:rsid w:val="001F649B"/>
    <w:rsid w:val="002052C9"/>
    <w:rsid w:val="00206DE5"/>
    <w:rsid w:val="0022014D"/>
    <w:rsid w:val="0025001E"/>
    <w:rsid w:val="00261F79"/>
    <w:rsid w:val="0027530F"/>
    <w:rsid w:val="002866FE"/>
    <w:rsid w:val="00287A7A"/>
    <w:rsid w:val="00287D00"/>
    <w:rsid w:val="002A650F"/>
    <w:rsid w:val="002D4A12"/>
    <w:rsid w:val="002D692D"/>
    <w:rsid w:val="002F22C4"/>
    <w:rsid w:val="002F4EEB"/>
    <w:rsid w:val="0034156A"/>
    <w:rsid w:val="003562F6"/>
    <w:rsid w:val="00373D0E"/>
    <w:rsid w:val="00375585"/>
    <w:rsid w:val="003864E8"/>
    <w:rsid w:val="003A5968"/>
    <w:rsid w:val="003C29A3"/>
    <w:rsid w:val="003D2661"/>
    <w:rsid w:val="00414B64"/>
    <w:rsid w:val="004316D9"/>
    <w:rsid w:val="00444E30"/>
    <w:rsid w:val="00446CBF"/>
    <w:rsid w:val="00450CC7"/>
    <w:rsid w:val="004540D6"/>
    <w:rsid w:val="004543A8"/>
    <w:rsid w:val="00456AE6"/>
    <w:rsid w:val="00475B71"/>
    <w:rsid w:val="004A0553"/>
    <w:rsid w:val="004D1CF6"/>
    <w:rsid w:val="004D7BAD"/>
    <w:rsid w:val="004E2EB1"/>
    <w:rsid w:val="004E4059"/>
    <w:rsid w:val="004E73F4"/>
    <w:rsid w:val="004F721E"/>
    <w:rsid w:val="00507E9E"/>
    <w:rsid w:val="00535110"/>
    <w:rsid w:val="005407F3"/>
    <w:rsid w:val="005409F9"/>
    <w:rsid w:val="00550264"/>
    <w:rsid w:val="00552090"/>
    <w:rsid w:val="00553D40"/>
    <w:rsid w:val="00573E44"/>
    <w:rsid w:val="00576432"/>
    <w:rsid w:val="005827FD"/>
    <w:rsid w:val="00584DF1"/>
    <w:rsid w:val="0058690A"/>
    <w:rsid w:val="00594B6D"/>
    <w:rsid w:val="005A5DC4"/>
    <w:rsid w:val="005D7722"/>
    <w:rsid w:val="005F22AB"/>
    <w:rsid w:val="005F298B"/>
    <w:rsid w:val="005F6E3B"/>
    <w:rsid w:val="005F79A8"/>
    <w:rsid w:val="00613FD1"/>
    <w:rsid w:val="00615E0B"/>
    <w:rsid w:val="00617945"/>
    <w:rsid w:val="00630A5B"/>
    <w:rsid w:val="00630A7A"/>
    <w:rsid w:val="00635E69"/>
    <w:rsid w:val="0063609F"/>
    <w:rsid w:val="00651043"/>
    <w:rsid w:val="00666423"/>
    <w:rsid w:val="006862E5"/>
    <w:rsid w:val="00686747"/>
    <w:rsid w:val="0069403D"/>
    <w:rsid w:val="006B5007"/>
    <w:rsid w:val="006C3488"/>
    <w:rsid w:val="006D3978"/>
    <w:rsid w:val="006E7C8E"/>
    <w:rsid w:val="00706E09"/>
    <w:rsid w:val="007122C7"/>
    <w:rsid w:val="00715803"/>
    <w:rsid w:val="00735005"/>
    <w:rsid w:val="00735014"/>
    <w:rsid w:val="00745E5B"/>
    <w:rsid w:val="007477D0"/>
    <w:rsid w:val="00762C72"/>
    <w:rsid w:val="0076427E"/>
    <w:rsid w:val="0077232F"/>
    <w:rsid w:val="007820CD"/>
    <w:rsid w:val="0079111E"/>
    <w:rsid w:val="007B08AB"/>
    <w:rsid w:val="007B4369"/>
    <w:rsid w:val="007C3242"/>
    <w:rsid w:val="007D1860"/>
    <w:rsid w:val="007D2BD4"/>
    <w:rsid w:val="007D7869"/>
    <w:rsid w:val="007E175A"/>
    <w:rsid w:val="007E25E2"/>
    <w:rsid w:val="007E42D1"/>
    <w:rsid w:val="007F3645"/>
    <w:rsid w:val="007F6FFA"/>
    <w:rsid w:val="00800908"/>
    <w:rsid w:val="008101FC"/>
    <w:rsid w:val="008146F1"/>
    <w:rsid w:val="00820B41"/>
    <w:rsid w:val="00823A02"/>
    <w:rsid w:val="008355E6"/>
    <w:rsid w:val="008541E7"/>
    <w:rsid w:val="008828AF"/>
    <w:rsid w:val="008871E6"/>
    <w:rsid w:val="0089312D"/>
    <w:rsid w:val="00893560"/>
    <w:rsid w:val="008966A5"/>
    <w:rsid w:val="008A3FE4"/>
    <w:rsid w:val="008A5D9E"/>
    <w:rsid w:val="008B6117"/>
    <w:rsid w:val="008F3AC4"/>
    <w:rsid w:val="009032FF"/>
    <w:rsid w:val="00914F14"/>
    <w:rsid w:val="009164EF"/>
    <w:rsid w:val="009175CA"/>
    <w:rsid w:val="00917AF8"/>
    <w:rsid w:val="00922E02"/>
    <w:rsid w:val="00924305"/>
    <w:rsid w:val="009346B3"/>
    <w:rsid w:val="00936E1B"/>
    <w:rsid w:val="0094179F"/>
    <w:rsid w:val="00951C20"/>
    <w:rsid w:val="0095393C"/>
    <w:rsid w:val="009553E0"/>
    <w:rsid w:val="0097603E"/>
    <w:rsid w:val="00980AD5"/>
    <w:rsid w:val="009848E7"/>
    <w:rsid w:val="00985552"/>
    <w:rsid w:val="009B1EBB"/>
    <w:rsid w:val="009D7886"/>
    <w:rsid w:val="009E1F2B"/>
    <w:rsid w:val="009E3763"/>
    <w:rsid w:val="009E57DD"/>
    <w:rsid w:val="009F5419"/>
    <w:rsid w:val="00A116F2"/>
    <w:rsid w:val="00A15E00"/>
    <w:rsid w:val="00A6049D"/>
    <w:rsid w:val="00A62B16"/>
    <w:rsid w:val="00A65847"/>
    <w:rsid w:val="00A711CA"/>
    <w:rsid w:val="00A77D34"/>
    <w:rsid w:val="00A8014C"/>
    <w:rsid w:val="00AA4BE2"/>
    <w:rsid w:val="00AB13CB"/>
    <w:rsid w:val="00AB26D1"/>
    <w:rsid w:val="00AC6C66"/>
    <w:rsid w:val="00AC7421"/>
    <w:rsid w:val="00AE3546"/>
    <w:rsid w:val="00B022E6"/>
    <w:rsid w:val="00B06FB4"/>
    <w:rsid w:val="00B25588"/>
    <w:rsid w:val="00B25D63"/>
    <w:rsid w:val="00B26045"/>
    <w:rsid w:val="00B408EC"/>
    <w:rsid w:val="00B440E6"/>
    <w:rsid w:val="00B53B87"/>
    <w:rsid w:val="00B53D1E"/>
    <w:rsid w:val="00B91716"/>
    <w:rsid w:val="00B92080"/>
    <w:rsid w:val="00B92241"/>
    <w:rsid w:val="00B97BAF"/>
    <w:rsid w:val="00BE025B"/>
    <w:rsid w:val="00BE24A0"/>
    <w:rsid w:val="00BF4876"/>
    <w:rsid w:val="00C145DA"/>
    <w:rsid w:val="00C158BB"/>
    <w:rsid w:val="00C2392B"/>
    <w:rsid w:val="00C23CDE"/>
    <w:rsid w:val="00C35C8A"/>
    <w:rsid w:val="00C43A47"/>
    <w:rsid w:val="00C63E80"/>
    <w:rsid w:val="00C64E7B"/>
    <w:rsid w:val="00C66FA6"/>
    <w:rsid w:val="00C75B7E"/>
    <w:rsid w:val="00CC7711"/>
    <w:rsid w:val="00CC7B96"/>
    <w:rsid w:val="00CD240D"/>
    <w:rsid w:val="00CD56A7"/>
    <w:rsid w:val="00CE40C8"/>
    <w:rsid w:val="00D004BC"/>
    <w:rsid w:val="00D20967"/>
    <w:rsid w:val="00D26F91"/>
    <w:rsid w:val="00D2724D"/>
    <w:rsid w:val="00D32CCE"/>
    <w:rsid w:val="00D3631F"/>
    <w:rsid w:val="00D406FE"/>
    <w:rsid w:val="00D6136D"/>
    <w:rsid w:val="00D7659F"/>
    <w:rsid w:val="00D80647"/>
    <w:rsid w:val="00D81B04"/>
    <w:rsid w:val="00D91454"/>
    <w:rsid w:val="00D928DF"/>
    <w:rsid w:val="00D93681"/>
    <w:rsid w:val="00D94563"/>
    <w:rsid w:val="00D979D7"/>
    <w:rsid w:val="00DB3072"/>
    <w:rsid w:val="00DD754B"/>
    <w:rsid w:val="00DE2005"/>
    <w:rsid w:val="00DE3E7D"/>
    <w:rsid w:val="00E00048"/>
    <w:rsid w:val="00E149C4"/>
    <w:rsid w:val="00E33E69"/>
    <w:rsid w:val="00E8322F"/>
    <w:rsid w:val="00E96643"/>
    <w:rsid w:val="00EA2490"/>
    <w:rsid w:val="00EA62E7"/>
    <w:rsid w:val="00EE36E8"/>
    <w:rsid w:val="00F00CF2"/>
    <w:rsid w:val="00F05F88"/>
    <w:rsid w:val="00F276B6"/>
    <w:rsid w:val="00F33CD9"/>
    <w:rsid w:val="00F37750"/>
    <w:rsid w:val="00F50094"/>
    <w:rsid w:val="00F559DD"/>
    <w:rsid w:val="00F70A4E"/>
    <w:rsid w:val="00F774B8"/>
    <w:rsid w:val="00FB001A"/>
    <w:rsid w:val="00FC3564"/>
    <w:rsid w:val="00FD2F1D"/>
    <w:rsid w:val="00FE73ED"/>
    <w:rsid w:val="33EC5C17"/>
    <w:rsid w:val="349F7010"/>
  </w:rsids>
  <m:mathPr>
    <m:mathFont m:val="Cambria Math"/>
    <m:brkBin m:val="before"/>
    <m:brkBinSub m:val="--"/>
    <m:smallFrac m:val="0"/>
    <m:dispDef/>
    <m:lMargin m:val="0"/>
    <m:rMargin m:val="0"/>
    <m:defJc m:val="centerGroup"/>
    <m:wrapIndent m:val="1440"/>
    <m:intLim m:val="subSup"/>
    <m:naryLim m:val="undOvr"/>
  </m:mathPr>
  <w:themeFontLang w:val="en-MY"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F494D"/>
  <w15:docId w15:val="{8857EE82-0402-4363-98A9-983407157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before="240" w:after="60"/>
    </w:pPr>
    <w:rPr>
      <w:rFonts w:ascii="Arial" w:hAnsi="Arial"/>
      <w:b/>
      <w:kern w:val="28"/>
      <w:sz w:val="28"/>
    </w:rPr>
  </w:style>
  <w:style w:type="paragraph" w:styleId="Heading2">
    <w:name w:val="heading 2"/>
    <w:basedOn w:val="Normal"/>
    <w:next w:val="Normal"/>
    <w:uiPriority w:val="9"/>
    <w:semiHidden/>
    <w:unhideWhenUsed/>
    <w:qFormat/>
    <w:pPr>
      <w:keepNext/>
      <w:framePr w:w="9356" w:hSpace="142" w:vSpace="284" w:wrap="notBeside" w:vAnchor="text" w:hAnchor="text"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pPr>
      <w:spacing w:before="240" w:after="60"/>
      <w:outlineLvl w:val="6"/>
    </w:pPr>
    <w:rPr>
      <w:rFonts w:ascii="Arial" w:hAnsi="Arial"/>
      <w:sz w:val="20"/>
    </w:rPr>
  </w:style>
  <w:style w:type="paragraph" w:styleId="Heading8">
    <w:name w:val="heading 8"/>
    <w:basedOn w:val="Normal"/>
    <w:next w:val="Normal"/>
    <w:pPr>
      <w:spacing w:before="240" w:after="60"/>
      <w:outlineLvl w:val="7"/>
    </w:pPr>
    <w:rPr>
      <w:rFonts w:ascii="Arial" w:hAnsi="Arial"/>
      <w:i/>
      <w:sz w:val="20"/>
    </w:rPr>
  </w:style>
  <w:style w:type="paragraph" w:styleId="Heading9">
    <w:name w:val="heading 9"/>
    <w:basedOn w:val="Normal"/>
    <w:next w:val="Normal"/>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pPr>
    <w:rPr>
      <w:rFonts w:ascii="Arial" w:hAnsi="Arial"/>
      <w:b/>
      <w:kern w:val="28"/>
      <w:sz w:val="32"/>
    </w:rPr>
  </w:style>
  <w:style w:type="character" w:styleId="PageNumber">
    <w:name w:val="page number"/>
    <w:basedOn w:val="DefaultParagraphFont"/>
    <w:rPr>
      <w:w w:val="100"/>
      <w:position w:val="-1"/>
      <w:effect w:val="none"/>
      <w:vertAlign w:val="baseline"/>
      <w:cs w:val="0"/>
      <w:em w:val="none"/>
    </w:rPr>
  </w:style>
  <w:style w:type="paragraph" w:customStyle="1" w:styleId="AUTHOR">
    <w:name w:val="AUTHOR"/>
    <w:basedOn w:val="Normal"/>
    <w:pPr>
      <w:framePr w:w="9356" w:hSpace="142" w:vSpace="284" w:wrap="notBeside" w:vAnchor="text" w:hAnchor="text" w:x="1146" w:y="-112"/>
      <w:spacing w:before="60"/>
      <w:jc w:val="right"/>
    </w:pPr>
    <w:rPr>
      <w:rFonts w:ascii="Arial" w:hAnsi="Arial"/>
      <w:caps/>
      <w:sz w:val="16"/>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numPr>
        <w:ilvl w:val="11"/>
        <w:numId w:val="2"/>
      </w:numPr>
      <w:tabs>
        <w:tab w:val="left" w:pos="567"/>
      </w:tabs>
      <w:ind w:left="851" w:hanging="284"/>
    </w:pPr>
  </w:style>
  <w:style w:type="paragraph" w:styleId="Caption">
    <w:name w:val="caption"/>
    <w:basedOn w:val="Normal"/>
    <w:next w:val="Normal"/>
    <w:pPr>
      <w:framePr w:w="9663" w:hSpace="142" w:vSpace="284" w:wrap="notBeside" w:vAnchor="text" w:hAnchor="text" w:x="1146" w:y="-112"/>
      <w:tabs>
        <w:tab w:val="right" w:pos="8505"/>
      </w:tabs>
    </w:pPr>
    <w:rPr>
      <w:b/>
      <w:sz w:val="36"/>
    </w:rPr>
  </w:style>
  <w:style w:type="paragraph" w:customStyle="1" w:styleId="Heading10">
    <w:name w:val="Heading1"/>
    <w:basedOn w:val="ParagraphNorm"/>
    <w:next w:val="Heading1"/>
    <w:pPr>
      <w:spacing w:before="240" w:after="120"/>
      <w:ind w:firstLine="0"/>
      <w:jc w:val="left"/>
    </w:pPr>
    <w:rPr>
      <w:b/>
    </w:rPr>
  </w:style>
  <w:style w:type="paragraph" w:customStyle="1" w:styleId="Heading20">
    <w:name w:val="Heading2"/>
    <w:basedOn w:val="ParagraphNorm"/>
    <w:next w:val="Heading2"/>
    <w:pPr>
      <w:spacing w:after="120"/>
      <w:ind w:firstLine="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Space="141" w:wrap="auto" w:vAnchor="page" w:hAnchor="text"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pPr>
      <w:ind w:left="240" w:hanging="240"/>
    </w:pPr>
  </w:style>
  <w:style w:type="paragraph" w:styleId="Date">
    <w:name w:val="Date"/>
    <w:basedOn w:val="Normal"/>
    <w:next w:val="Normal"/>
  </w:style>
  <w:style w:type="paragraph" w:styleId="EndnoteText">
    <w:name w:val="endnote text"/>
    <w:basedOn w:val="Normal"/>
    <w:rPr>
      <w:sz w:val="20"/>
    </w:rPr>
  </w:style>
  <w:style w:type="paragraph" w:styleId="Signature">
    <w:name w:val="Signature"/>
    <w:basedOn w:val="Normal"/>
    <w:pPr>
      <w:ind w:left="4252"/>
    </w:pPr>
  </w:style>
  <w:style w:type="paragraph" w:styleId="Index1">
    <w:name w:val="index 1"/>
    <w:basedOn w:val="Normal"/>
    <w:next w:val="Normal"/>
    <w:pPr>
      <w:ind w:left="240" w:hanging="240"/>
    </w:pPr>
  </w:style>
  <w:style w:type="paragraph" w:styleId="Index2">
    <w:name w:val="index 2"/>
    <w:basedOn w:val="Normal"/>
    <w:next w:val="Normal"/>
    <w:pPr>
      <w:ind w:left="480" w:hanging="240"/>
    </w:pPr>
  </w:style>
  <w:style w:type="paragraph" w:styleId="Index3">
    <w:name w:val="index 3"/>
    <w:basedOn w:val="Normal"/>
    <w:next w:val="Normal"/>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rPr>
      <w:rFonts w:ascii="Arial" w:hAnsi="Arial"/>
      <w:b/>
    </w:rPr>
  </w:style>
  <w:style w:type="paragraph" w:styleId="TOC1">
    <w:name w:val="toc 1"/>
    <w:basedOn w:val="Normal"/>
    <w:next w:val="Normal"/>
  </w:style>
  <w:style w:type="paragraph" w:styleId="TOC2">
    <w:name w:val="toc 2"/>
    <w:basedOn w:val="Normal"/>
    <w:next w:val="Normal"/>
    <w:pPr>
      <w:ind w:left="240"/>
    </w:pPr>
  </w:style>
  <w:style w:type="paragraph" w:styleId="TOC3">
    <w:name w:val="toc 3"/>
    <w:basedOn w:val="Normal"/>
    <w:next w:val="Normal"/>
    <w:pPr>
      <w:ind w:left="480"/>
    </w:pPr>
  </w:style>
  <w:style w:type="paragraph" w:styleId="TOC4">
    <w:name w:val="toc 4"/>
    <w:basedOn w:val="Normal"/>
    <w:next w:val="Normal"/>
    <w:pPr>
      <w:ind w:left="720"/>
    </w:pPr>
  </w:style>
  <w:style w:type="paragraph" w:styleId="TOC5">
    <w:name w:val="toc 5"/>
    <w:basedOn w:val="Normal"/>
    <w:next w:val="Normal"/>
    <w:pPr>
      <w:ind w:left="960"/>
    </w:pPr>
  </w:style>
  <w:style w:type="paragraph" w:styleId="TOC6">
    <w:name w:val="toc 6"/>
    <w:basedOn w:val="Normal"/>
    <w:next w:val="Normal"/>
    <w:pPr>
      <w:ind w:left="1200"/>
    </w:pPr>
  </w:style>
  <w:style w:type="paragraph" w:styleId="TOC7">
    <w:name w:val="toc 7"/>
    <w:basedOn w:val="Normal"/>
    <w:next w:val="Normal"/>
    <w:pPr>
      <w:ind w:left="1440"/>
    </w:pPr>
  </w:style>
  <w:style w:type="paragraph" w:styleId="TOC8">
    <w:name w:val="toc 8"/>
    <w:basedOn w:val="Normal"/>
    <w:next w:val="Normal"/>
    <w:pPr>
      <w:ind w:left="1680"/>
    </w:pPr>
  </w:style>
  <w:style w:type="paragraph" w:styleId="TOC9">
    <w:name w:val="toc 9"/>
    <w:basedOn w:val="Normal"/>
    <w:next w:val="Normal"/>
    <w:pPr>
      <w:ind w:left="1920"/>
    </w:pPr>
  </w:style>
  <w:style w:type="paragraph" w:styleId="TOAHeading">
    <w:name w:val="toa heading"/>
    <w:basedOn w:val="Normal"/>
    <w:next w:val="Normal"/>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pPr>
      <w:ind w:left="480" w:hanging="480"/>
    </w:pPr>
  </w:style>
  <w:style w:type="paragraph" w:styleId="ListBullet">
    <w:name w:val="List Bullet"/>
    <w:basedOn w:val="Normal"/>
    <w:pPr>
      <w:numPr>
        <w:numId w:val="1"/>
      </w:numPr>
      <w:ind w:left="-1" w:hanging="1"/>
    </w:pPr>
  </w:style>
  <w:style w:type="paragraph" w:styleId="ListBullet2">
    <w:name w:val="List Bullet 2"/>
    <w:basedOn w:val="Normal"/>
    <w:pPr>
      <w:numPr>
        <w:numId w:val="3"/>
      </w:numPr>
      <w:ind w:left="-1" w:hanging="1"/>
    </w:pPr>
  </w:style>
  <w:style w:type="paragraph" w:styleId="ListBullet3">
    <w:name w:val="List Bullet 3"/>
    <w:basedOn w:val="Normal"/>
    <w:pPr>
      <w:tabs>
        <w:tab w:val="num" w:pos="720"/>
      </w:tabs>
    </w:pPr>
  </w:style>
  <w:style w:type="paragraph" w:styleId="ListBullet4">
    <w:name w:val="List Bullet 4"/>
    <w:basedOn w:val="Normal"/>
    <w:pPr>
      <w:tabs>
        <w:tab w:val="num" w:pos="720"/>
      </w:tabs>
    </w:pPr>
  </w:style>
  <w:style w:type="paragraph" w:styleId="ListBullet5">
    <w:name w:val="List Bullet 5"/>
    <w:basedOn w:val="Normal"/>
    <w:pPr>
      <w:tabs>
        <w:tab w:val="num" w:pos="720"/>
      </w:tabs>
    </w:pPr>
  </w:style>
  <w:style w:type="paragraph" w:styleId="ListNumber">
    <w:name w:val="List Number"/>
    <w:basedOn w:val="Normal"/>
    <w:pPr>
      <w:tabs>
        <w:tab w:val="num" w:pos="720"/>
      </w:tabs>
    </w:pPr>
  </w:style>
  <w:style w:type="paragraph" w:styleId="ListNumber2">
    <w:name w:val="List Number 2"/>
    <w:basedOn w:val="Normal"/>
    <w:pPr>
      <w:tabs>
        <w:tab w:val="num" w:pos="720"/>
      </w:tabs>
    </w:pPr>
  </w:style>
  <w:style w:type="paragraph" w:styleId="ListNumber3">
    <w:name w:val="List Number 3"/>
    <w:basedOn w:val="Normal"/>
    <w:pPr>
      <w:tabs>
        <w:tab w:val="num" w:pos="720"/>
      </w:tabs>
    </w:pPr>
  </w:style>
  <w:style w:type="paragraph" w:styleId="ListNumber4">
    <w:name w:val="List Number 4"/>
    <w:basedOn w:val="Normal"/>
    <w:pPr>
      <w:tabs>
        <w:tab w:val="num" w:pos="720"/>
      </w:tabs>
    </w:pPr>
  </w:style>
  <w:style w:type="paragraph" w:styleId="ListNumber5">
    <w:name w:val="List Number 5"/>
    <w:basedOn w:val="Normal"/>
    <w:pPr>
      <w:tabs>
        <w:tab w:val="num" w:pos="72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1" w:lineRule="atLeast"/>
      <w:ind w:leftChars="-1" w:left="-1" w:hangingChars="1"/>
      <w:textDirection w:val="btLr"/>
      <w:textAlignment w:val="top"/>
      <w:outlineLvl w:val="0"/>
    </w:pPr>
    <w:rPr>
      <w:rFonts w:ascii="Courier New" w:hAnsi="Courier New"/>
      <w:position w:val="-1"/>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CommentText">
    <w:name w:val="annotation text"/>
    <w:basedOn w:val="Normal"/>
    <w:link w:val="CommentTextChar"/>
    <w:rPr>
      <w:sz w:val="20"/>
    </w:rPr>
  </w:style>
  <w:style w:type="paragraph" w:styleId="FootnoteText">
    <w:name w:val="footnote text"/>
    <w:basedOn w:val="Normal"/>
    <w:rPr>
      <w:sz w:val="20"/>
    </w:rPr>
  </w:style>
  <w:style w:type="paragraph" w:customStyle="1" w:styleId="caption11ptitalic">
    <w:name w:val="caption 11pt italic"/>
    <w:basedOn w:val="Normal11ptjustified"/>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pPr>
      <w:tabs>
        <w:tab w:val="left" w:pos="504"/>
      </w:tabs>
      <w:jc w:val="both"/>
    </w:pPr>
    <w:rPr>
      <w:sz w:val="22"/>
      <w:lang w:val="en-GB"/>
    </w:rPr>
  </w:style>
  <w:style w:type="paragraph" w:customStyle="1" w:styleId="Normal11ptcentered">
    <w:name w:val="Normal 11pt centered"/>
    <w:basedOn w:val="Normal11ptjustified"/>
    <w:pPr>
      <w:jc w:val="center"/>
    </w:pPr>
  </w:style>
  <w:style w:type="paragraph" w:customStyle="1" w:styleId="SectionHeading">
    <w:name w:val="Section Heading"/>
    <w:basedOn w:val="Normal"/>
    <w:pPr>
      <w:tabs>
        <w:tab w:val="left" w:pos="504"/>
      </w:tabs>
      <w:spacing w:before="240" w:after="240"/>
    </w:pPr>
    <w:rPr>
      <w:b/>
      <w:sz w:val="22"/>
      <w:lang w:val="en-GB"/>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alloonText">
    <w:name w:val="Balloon Text"/>
    <w:basedOn w:val="Normal"/>
    <w:rPr>
      <w:sz w:val="18"/>
      <w:szCs w:val="18"/>
    </w:rPr>
  </w:style>
  <w:style w:type="character" w:customStyle="1" w:styleId="BalloonTextChar">
    <w:name w:val="Balloon Text Char"/>
    <w:rPr>
      <w:w w:val="100"/>
      <w:position w:val="-1"/>
      <w:sz w:val="18"/>
      <w:szCs w:val="18"/>
      <w:effect w:val="none"/>
      <w:vertAlign w:val="baseline"/>
      <w:cs w:val="0"/>
      <w:em w:val="none"/>
    </w:rPr>
  </w:style>
  <w:style w:type="character" w:styleId="UnresolvedMention">
    <w:name w:val="Unresolved Mention"/>
    <w:basedOn w:val="DefaultParagraphFont"/>
    <w:uiPriority w:val="99"/>
    <w:semiHidden/>
    <w:unhideWhenUsed/>
    <w:rsid w:val="00523C5A"/>
    <w:rPr>
      <w:color w:val="605E5C"/>
      <w:shd w:val="clear" w:color="auto" w:fill="E1DFDD"/>
    </w:rPr>
  </w:style>
  <w:style w:type="character" w:styleId="FootnoteReference">
    <w:name w:val="footnote reference"/>
    <w:basedOn w:val="DefaultParagraphFont"/>
    <w:uiPriority w:val="99"/>
    <w:semiHidden/>
    <w:unhideWhenUsed/>
    <w:rsid w:val="000F2F8C"/>
    <w:rPr>
      <w:vertAlign w:val="superscript"/>
    </w:rPr>
  </w:style>
  <w:style w:type="character" w:styleId="CommentReference">
    <w:name w:val="annotation reference"/>
    <w:basedOn w:val="DefaultParagraphFont"/>
    <w:uiPriority w:val="99"/>
    <w:semiHidden/>
    <w:unhideWhenUsed/>
    <w:rsid w:val="00A116F2"/>
    <w:rPr>
      <w:sz w:val="16"/>
      <w:szCs w:val="16"/>
    </w:rPr>
  </w:style>
  <w:style w:type="paragraph" w:styleId="CommentSubject">
    <w:name w:val="annotation subject"/>
    <w:basedOn w:val="CommentText"/>
    <w:next w:val="CommentText"/>
    <w:link w:val="CommentSubjectChar"/>
    <w:uiPriority w:val="99"/>
    <w:semiHidden/>
    <w:unhideWhenUsed/>
    <w:rsid w:val="00A116F2"/>
    <w:pPr>
      <w:spacing w:line="240" w:lineRule="auto"/>
    </w:pPr>
    <w:rPr>
      <w:b/>
      <w:bCs/>
      <w:szCs w:val="20"/>
    </w:rPr>
  </w:style>
  <w:style w:type="character" w:customStyle="1" w:styleId="CommentTextChar">
    <w:name w:val="Comment Text Char"/>
    <w:basedOn w:val="DefaultParagraphFont"/>
    <w:link w:val="CommentText"/>
    <w:rsid w:val="00A116F2"/>
    <w:rPr>
      <w:position w:val="-1"/>
      <w:sz w:val="20"/>
    </w:rPr>
  </w:style>
  <w:style w:type="character" w:customStyle="1" w:styleId="CommentSubjectChar">
    <w:name w:val="Comment Subject Char"/>
    <w:basedOn w:val="CommentTextChar"/>
    <w:link w:val="CommentSubject"/>
    <w:uiPriority w:val="99"/>
    <w:semiHidden/>
    <w:rsid w:val="00A116F2"/>
    <w:rPr>
      <w:b/>
      <w:bCs/>
      <w:position w:val="-1"/>
      <w:sz w:val="20"/>
      <w:szCs w:val="20"/>
    </w:rPr>
  </w:style>
  <w:style w:type="paragraph" w:styleId="Revision">
    <w:name w:val="Revision"/>
    <w:hidden/>
    <w:uiPriority w:val="99"/>
    <w:semiHidden/>
    <w:rsid w:val="00D26F91"/>
    <w:pPr>
      <w:ind w:firstLine="0"/>
    </w:pPr>
    <w:rPr>
      <w:position w:val="-1"/>
    </w:rPr>
  </w:style>
  <w:style w:type="paragraph" w:styleId="ListParagraph">
    <w:name w:val="List Paragraph"/>
    <w:basedOn w:val="Normal"/>
    <w:uiPriority w:val="34"/>
    <w:qFormat/>
    <w:rsid w:val="005407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ea.org/articles/environmental-monitoring-of-offshore-carbon-capture-and-storage" TargetMode="External"/><Relationship Id="rId18" Type="http://schemas.openxmlformats.org/officeDocument/2006/relationships/hyperlink" Target="https://www.un.org/bbnjagreement/sites/default/files/2024-07/BBNJAgreementFactsheet3ABMTs.pdf"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club-co2.fr/files/2021/04/IEAGHG-2021-TR02-Exporting-CO2-for-Offshore-Storage-The-London-Protocol-s-Export-Amendment-and-Associated-Guidelines-and-Guidance.pdf" TargetMode="External"/><Relationship Id="rId17" Type="http://schemas.openxmlformats.org/officeDocument/2006/relationships/hyperlink" Target="https://doi.org/10.3390/su17209250"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doi.org/10.1016/j.egypro.2014.11.698" TargetMode="External"/><Relationship Id="rId20" Type="http://schemas.openxmlformats.org/officeDocument/2006/relationships/hyperlink" Target="https://doi.org/10.3389/fmars.2022.83830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iel.org/wp-content/uploads/2023/06/CIEL_brief_Deep-Trouble-The-Risks-of-Offshore-Carbon-Capture-and-Storage_June2023.pdf"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cil.nus.edu.sg/wp-content/uploads/2009/10/KK-Beckman-UNCLOS-Workshop-Marine-Environment-27-May-2014.pdf"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doi.org/10.1080/00908320.2024.2435291" TargetMode="External"/><Relationship Id="rId19" Type="http://schemas.openxmlformats.org/officeDocument/2006/relationships/hyperlink" Target="https://www.un.org/bbnjagreement/sites/default/files/2024-08/BBNJAgreementFactsheet4EIAs.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imo.org/en/mediacentre/pressbriefings/pages/imo-welcomes-entry-into-force-bbnj.aspx"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IEgOB7WpGwYjfrfsHtFrYiwC8A==">AMUW2mVAH0c6uccK2WcYkRZAVfoI9nbhu0G83YsdzZGvrnfRa8+V3f5OznoGWH46bMYPO8Dmy+rm87FOP1cGwl1bR41yOzuOdVapt6MxqAS2b9gqq/rbocpv3lOY0O27w+aFnIGX8N+DbR+p5fIA9UcB/Zmw08JWgJ4YUGJAx5TBgDMEsVBshx8GIHEKTLjueYW1dk42hWS8UqjHzSk+HBRl7GMqCF1no774K3TrvtEpdGebuxkDFmiwvZ8WhoLQAh6CQaA1kKqDI4eDnMTWd+iEd7S8HDihhKBAk8Y9SCRFFj4b6IUksIRUKBeMEb20EzvLBPEBhwd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C5A38A3-A7AD-44F2-B255-8B8FDAB73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2243</Words>
  <Characters>12789</Characters>
  <Application>Microsoft Office Word</Application>
  <DocSecurity>4</DocSecurity>
  <Lines>106</Lines>
  <Paragraphs>30</Paragraphs>
  <ScaleCrop>false</ScaleCrop>
  <Company/>
  <LinksUpToDate>false</LinksUpToDate>
  <CharactersWithSpaces>15002</CharactersWithSpaces>
  <SharedDoc>false</SharedDoc>
  <HLinks>
    <vt:vector size="66" baseType="variant">
      <vt:variant>
        <vt:i4>1703946</vt:i4>
      </vt:variant>
      <vt:variant>
        <vt:i4>30</vt:i4>
      </vt:variant>
      <vt:variant>
        <vt:i4>0</vt:i4>
      </vt:variant>
      <vt:variant>
        <vt:i4>5</vt:i4>
      </vt:variant>
      <vt:variant>
        <vt:lpwstr>https://doi.org/10.3389/fmars.2022.838309</vt:lpwstr>
      </vt:variant>
      <vt:variant>
        <vt:lpwstr/>
      </vt:variant>
      <vt:variant>
        <vt:i4>1376284</vt:i4>
      </vt:variant>
      <vt:variant>
        <vt:i4>27</vt:i4>
      </vt:variant>
      <vt:variant>
        <vt:i4>0</vt:i4>
      </vt:variant>
      <vt:variant>
        <vt:i4>5</vt:i4>
      </vt:variant>
      <vt:variant>
        <vt:lpwstr>https://www.un.org/bbnjagreement/sites/default/files/2024-08/BBNJAgreementFactsheet4EIAs.pdf</vt:lpwstr>
      </vt:variant>
      <vt:variant>
        <vt:lpwstr/>
      </vt:variant>
      <vt:variant>
        <vt:i4>5046365</vt:i4>
      </vt:variant>
      <vt:variant>
        <vt:i4>24</vt:i4>
      </vt:variant>
      <vt:variant>
        <vt:i4>0</vt:i4>
      </vt:variant>
      <vt:variant>
        <vt:i4>5</vt:i4>
      </vt:variant>
      <vt:variant>
        <vt:lpwstr>https://www.un.org/bbnjagreement/sites/default/files/2024-07/BBNJAgreementFactsheet3ABMTs.pdf</vt:lpwstr>
      </vt:variant>
      <vt:variant>
        <vt:lpwstr/>
      </vt:variant>
      <vt:variant>
        <vt:i4>6815781</vt:i4>
      </vt:variant>
      <vt:variant>
        <vt:i4>21</vt:i4>
      </vt:variant>
      <vt:variant>
        <vt:i4>0</vt:i4>
      </vt:variant>
      <vt:variant>
        <vt:i4>5</vt:i4>
      </vt:variant>
      <vt:variant>
        <vt:lpwstr>https://doi.org/10.3390/su17209250</vt:lpwstr>
      </vt:variant>
      <vt:variant>
        <vt:lpwstr/>
      </vt:variant>
      <vt:variant>
        <vt:i4>5636180</vt:i4>
      </vt:variant>
      <vt:variant>
        <vt:i4>18</vt:i4>
      </vt:variant>
      <vt:variant>
        <vt:i4>0</vt:i4>
      </vt:variant>
      <vt:variant>
        <vt:i4>5</vt:i4>
      </vt:variant>
      <vt:variant>
        <vt:lpwstr>https://doi.org/10.1016/j.egypro.2014.11.698</vt:lpwstr>
      </vt:variant>
      <vt:variant>
        <vt:lpwstr/>
      </vt:variant>
      <vt:variant>
        <vt:i4>3276913</vt:i4>
      </vt:variant>
      <vt:variant>
        <vt:i4>15</vt:i4>
      </vt:variant>
      <vt:variant>
        <vt:i4>0</vt:i4>
      </vt:variant>
      <vt:variant>
        <vt:i4>5</vt:i4>
      </vt:variant>
      <vt:variant>
        <vt:lpwstr>https://cil.nus.edu.sg/wp-content/uploads/2009/10/KK-Beckman-UNCLOS-Workshop-Marine-Environment-27-May-2014.pdf</vt:lpwstr>
      </vt:variant>
      <vt:variant>
        <vt:lpwstr/>
      </vt:variant>
      <vt:variant>
        <vt:i4>6750311</vt:i4>
      </vt:variant>
      <vt:variant>
        <vt:i4>12</vt:i4>
      </vt:variant>
      <vt:variant>
        <vt:i4>0</vt:i4>
      </vt:variant>
      <vt:variant>
        <vt:i4>5</vt:i4>
      </vt:variant>
      <vt:variant>
        <vt:lpwstr>https://www.imo.org/en/mediacentre/pressbriefings/pages/imo-welcomes-entry-into-force-bbnj.aspx</vt:lpwstr>
      </vt:variant>
      <vt:variant>
        <vt:lpwstr/>
      </vt:variant>
      <vt:variant>
        <vt:i4>4522074</vt:i4>
      </vt:variant>
      <vt:variant>
        <vt:i4>9</vt:i4>
      </vt:variant>
      <vt:variant>
        <vt:i4>0</vt:i4>
      </vt:variant>
      <vt:variant>
        <vt:i4>5</vt:i4>
      </vt:variant>
      <vt:variant>
        <vt:lpwstr>https://www.iea.org/articles/environmental-monitoring-of-offshore-carbon-capture-and-storage</vt:lpwstr>
      </vt:variant>
      <vt:variant>
        <vt:lpwstr/>
      </vt:variant>
      <vt:variant>
        <vt:i4>6684705</vt:i4>
      </vt:variant>
      <vt:variant>
        <vt:i4>6</vt:i4>
      </vt:variant>
      <vt:variant>
        <vt:i4>0</vt:i4>
      </vt:variant>
      <vt:variant>
        <vt:i4>5</vt:i4>
      </vt:variant>
      <vt:variant>
        <vt:lpwstr>https://www.club-co2.fr/files/2021/04/IEAGHG-2021-TR02-Exporting-CO2-for-Offshore-Storage-The-London-Protocol-s-Export-Amendment-and-Associated-Guidelines-and-Guidance.pdf</vt:lpwstr>
      </vt:variant>
      <vt:variant>
        <vt:lpwstr/>
      </vt:variant>
      <vt:variant>
        <vt:i4>106</vt:i4>
      </vt:variant>
      <vt:variant>
        <vt:i4>3</vt:i4>
      </vt:variant>
      <vt:variant>
        <vt:i4>0</vt:i4>
      </vt:variant>
      <vt:variant>
        <vt:i4>5</vt:i4>
      </vt:variant>
      <vt:variant>
        <vt:lpwstr>https://www.ciel.org/wp-content/uploads/2023/06/CIEL_brief_Deep-Trouble-The-Risks-of-Offshore-Carbon-Capture-and-Storage_June2023.pdf</vt:lpwstr>
      </vt:variant>
      <vt:variant>
        <vt:lpwstr/>
      </vt:variant>
      <vt:variant>
        <vt:i4>917568</vt:i4>
      </vt:variant>
      <vt:variant>
        <vt:i4>0</vt:i4>
      </vt:variant>
      <vt:variant>
        <vt:i4>0</vt:i4>
      </vt:variant>
      <vt:variant>
        <vt:i4>5</vt:i4>
      </vt:variant>
      <vt:variant>
        <vt:lpwstr>https://doi.org/10.1080/00908320.2024.2435291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Marjolein van Kraanen</dc:creator>
  <cp:keywords/>
  <dc:description/>
  <cp:lastModifiedBy>Jørgen Nyberget</cp:lastModifiedBy>
  <cp:revision>144</cp:revision>
  <cp:lastPrinted>2024-07-23T01:20:00Z</cp:lastPrinted>
  <dcterms:created xsi:type="dcterms:W3CDTF">2026-02-20T06:23:00Z</dcterms:created>
  <dcterms:modified xsi:type="dcterms:W3CDTF">2026-02-27T13:40:00Z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c6fe9f9b-db66-45e5-8411-9bfe2e0609a9</vt:lpwstr>
  </property>
</Properties>
</file>